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宋体" w:eastAsia="黑体"/>
          <w:color w:val="000000"/>
          <w:sz w:val="32"/>
          <w:szCs w:val="32"/>
        </w:rPr>
      </w:pPr>
      <w:r>
        <w:rPr>
          <w:rFonts w:hint="eastAsia" w:ascii="黑体" w:hAnsi="宋体" w:eastAsia="黑体"/>
          <w:color w:val="000000"/>
          <w:sz w:val="32"/>
          <w:szCs w:val="32"/>
        </w:rPr>
        <w:t>附件1</w:t>
      </w:r>
    </w:p>
    <w:p>
      <w:pPr>
        <w:spacing w:line="560" w:lineRule="exact"/>
        <w:jc w:val="center"/>
        <w:rPr>
          <w:rFonts w:ascii="方正小标宋简体" w:hAnsi="黑体" w:eastAsia="方正小标宋简体"/>
          <w:color w:val="000000"/>
          <w:sz w:val="44"/>
          <w:szCs w:val="44"/>
        </w:rPr>
      </w:pPr>
    </w:p>
    <w:p>
      <w:pPr>
        <w:spacing w:line="560" w:lineRule="exact"/>
        <w:jc w:val="center"/>
        <w:rPr>
          <w:rFonts w:ascii="方正小标宋简体" w:hAnsi="黑体" w:eastAsia="方正小标宋简体"/>
          <w:color w:val="000000"/>
          <w:sz w:val="36"/>
          <w:szCs w:val="36"/>
        </w:rPr>
      </w:pPr>
      <w:r>
        <w:rPr>
          <w:rFonts w:hint="eastAsia" w:ascii="方正小标宋简体" w:hAnsi="黑体" w:eastAsia="方正小标宋简体"/>
          <w:color w:val="000000"/>
          <w:sz w:val="36"/>
          <w:szCs w:val="36"/>
        </w:rPr>
        <w:t>2017年度浙江省微课程建设规范</w:t>
      </w:r>
    </w:p>
    <w:p>
      <w:pPr>
        <w:spacing w:line="560" w:lineRule="exact"/>
        <w:jc w:val="center"/>
        <w:rPr>
          <w:rFonts w:ascii="楷体" w:hAnsi="楷体" w:eastAsia="楷体"/>
          <w:color w:val="000000"/>
          <w:sz w:val="30"/>
          <w:szCs w:val="30"/>
        </w:rPr>
      </w:pPr>
    </w:p>
    <w:p>
      <w:pPr>
        <w:pStyle w:val="5"/>
        <w:snapToGrid w:val="0"/>
        <w:spacing w:line="560" w:lineRule="exact"/>
        <w:ind w:right="-85" w:firstLine="640"/>
        <w:rPr>
          <w:rFonts w:ascii="仿宋_GB2312" w:hAnsi="仿宋" w:eastAsia="仿宋_GB2312"/>
          <w:color w:val="000000"/>
          <w:sz w:val="32"/>
          <w:szCs w:val="32"/>
        </w:rPr>
      </w:pPr>
      <w:r>
        <w:rPr>
          <w:rFonts w:hint="eastAsia" w:ascii="仿宋_GB2312" w:hAnsi="仿宋" w:eastAsia="仿宋_GB2312"/>
          <w:color w:val="000000"/>
          <w:sz w:val="32"/>
          <w:szCs w:val="32"/>
        </w:rPr>
        <w:t>为进一步指导和规范微课程开发，提升我省微课程建设水平，促进资源共享与应用，特制订本规范。</w:t>
      </w:r>
    </w:p>
    <w:p>
      <w:pPr>
        <w:pStyle w:val="5"/>
        <w:numPr>
          <w:ilvl w:val="0"/>
          <w:numId w:val="1"/>
        </w:numPr>
        <w:snapToGrid w:val="0"/>
        <w:spacing w:line="560" w:lineRule="exact"/>
        <w:ind w:right="-86"/>
        <w:rPr>
          <w:rFonts w:ascii="黑体" w:hAnsi="黑体" w:eastAsia="黑体"/>
          <w:color w:val="000000"/>
          <w:sz w:val="32"/>
          <w:szCs w:val="32"/>
        </w:rPr>
      </w:pPr>
      <w:r>
        <w:rPr>
          <w:rFonts w:hint="eastAsia" w:ascii="黑体" w:hAnsi="黑体" w:eastAsia="黑体"/>
          <w:color w:val="000000"/>
          <w:sz w:val="32"/>
          <w:szCs w:val="32"/>
        </w:rPr>
        <w:t>微课程分类</w:t>
      </w:r>
    </w:p>
    <w:p>
      <w:pPr>
        <w:pStyle w:val="5"/>
        <w:numPr>
          <w:ilvl w:val="0"/>
          <w:numId w:val="2"/>
        </w:numPr>
        <w:spacing w:line="56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基础教育类</w:t>
      </w:r>
    </w:p>
    <w:p>
      <w:pPr>
        <w:pStyle w:val="5"/>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1.学科指导类</w:t>
      </w:r>
    </w:p>
    <w:p>
      <w:pPr>
        <w:pStyle w:val="5"/>
        <w:snapToGrid w:val="0"/>
        <w:spacing w:line="560" w:lineRule="exact"/>
        <w:ind w:right="-86" w:firstLine="640"/>
        <w:rPr>
          <w:rFonts w:ascii="仿宋_GB2312" w:eastAsia="仿宋_GB2312"/>
          <w:color w:val="000000"/>
          <w:sz w:val="32"/>
          <w:szCs w:val="32"/>
        </w:rPr>
      </w:pPr>
      <w:r>
        <w:rPr>
          <w:rFonts w:hint="eastAsia" w:ascii="仿宋_GB2312" w:eastAsia="仿宋_GB2312"/>
          <w:color w:val="000000"/>
          <w:sz w:val="32"/>
          <w:szCs w:val="32"/>
        </w:rPr>
        <w:t>主要是</w:t>
      </w:r>
      <w:r>
        <w:rPr>
          <w:rFonts w:hint="eastAsia" w:ascii="仿宋_GB2312" w:hAnsi="仿宋" w:eastAsia="仿宋_GB2312"/>
          <w:color w:val="000000"/>
          <w:sz w:val="32"/>
          <w:szCs w:val="32"/>
        </w:rPr>
        <w:t>指</w:t>
      </w:r>
      <w:r>
        <w:rPr>
          <w:rFonts w:hint="eastAsia" w:ascii="仿宋_GB2312" w:eastAsia="仿宋_GB2312"/>
          <w:color w:val="000000"/>
          <w:sz w:val="32"/>
          <w:szCs w:val="32"/>
        </w:rPr>
        <w:t>按照我省基础教育学段（小学、初中、高中）各学科课程纲要、课程标准的要求，建设与主要教材版本配套的</w:t>
      </w:r>
      <w:r>
        <w:rPr>
          <w:rFonts w:hint="eastAsia" w:ascii="仿宋_GB2312" w:hAnsi="仿宋" w:eastAsia="仿宋_GB2312"/>
          <w:color w:val="000000"/>
          <w:sz w:val="32"/>
          <w:szCs w:val="32"/>
        </w:rPr>
        <w:t>学科学习中的重难点知识，以微视频为主要载体、具有相对完整知识结构开发的微型课程资源。此类微课程为</w:t>
      </w:r>
      <w:r>
        <w:rPr>
          <w:rFonts w:hint="eastAsia" w:ascii="仿宋_GB2312" w:eastAsia="仿宋_GB2312"/>
          <w:color w:val="000000"/>
          <w:sz w:val="32"/>
          <w:szCs w:val="32"/>
        </w:rPr>
        <w:t>辅助基础教育学科教学，</w:t>
      </w:r>
      <w:r>
        <w:rPr>
          <w:rFonts w:hint="eastAsia" w:ascii="仿宋_GB2312" w:hAnsi="仿宋" w:eastAsia="仿宋_GB2312"/>
          <w:color w:val="000000"/>
          <w:sz w:val="32"/>
          <w:szCs w:val="32"/>
        </w:rPr>
        <w:t>以满足学习者自主学习为主，</w:t>
      </w:r>
      <w:r>
        <w:rPr>
          <w:rFonts w:hint="eastAsia" w:ascii="仿宋_GB2312" w:eastAsia="仿宋_GB2312"/>
          <w:color w:val="000000"/>
          <w:sz w:val="32"/>
          <w:szCs w:val="32"/>
        </w:rPr>
        <w:t>帮助学生通过自主学习，突破学科学习重难点的系列化微课资源。</w:t>
      </w:r>
    </w:p>
    <w:p>
      <w:pPr>
        <w:pStyle w:val="5"/>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微课程体系须依据各学段、各学科现行教材版本的知识体系系统开发。做到</w:t>
      </w:r>
      <w:r>
        <w:rPr>
          <w:rFonts w:hint="eastAsia" w:ascii="仿宋_GB2312" w:hAnsi="仿宋" w:eastAsia="仿宋_GB2312"/>
          <w:color w:val="000000"/>
          <w:sz w:val="32"/>
          <w:szCs w:val="32"/>
        </w:rPr>
        <w:t>知识点关联清晰，课程结构严谨，能够解决</w:t>
      </w:r>
      <w:r>
        <w:rPr>
          <w:rFonts w:hint="eastAsia" w:ascii="仿宋_GB2312" w:eastAsia="仿宋_GB2312"/>
          <w:color w:val="000000"/>
          <w:sz w:val="32"/>
          <w:szCs w:val="32"/>
        </w:rPr>
        <w:t>实际教学中的重点难点问题，对学生具有启发性、引导性，有利于激发学习动机。</w:t>
      </w:r>
    </w:p>
    <w:p>
      <w:pPr>
        <w:pStyle w:val="5"/>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内容建设类型可按照年级建设的，每门微课程应至少包含一个年级（两册教材）的重难点知识；也可按照学习主题、单元模块建设，每门微课程应涵盖某个学科整个学段中的一个学习主题或单元模块的重难点知识。每门微课程视频数量不少于20个，不超过40个。</w:t>
      </w:r>
      <w:bookmarkStart w:id="0" w:name="_GoBack"/>
      <w:bookmarkEnd w:id="0"/>
    </w:p>
    <w:p>
      <w:pPr>
        <w:pStyle w:val="5"/>
        <w:snapToGrid w:val="0"/>
        <w:spacing w:line="560" w:lineRule="exact"/>
        <w:ind w:right="-85" w:firstLine="640"/>
        <w:rPr>
          <w:rFonts w:ascii="仿宋_GB2312" w:hAnsi="仿宋" w:eastAsia="仿宋_GB2312"/>
          <w:color w:val="000000"/>
          <w:sz w:val="32"/>
          <w:szCs w:val="32"/>
        </w:rPr>
      </w:pPr>
      <w:r>
        <w:rPr>
          <w:rFonts w:hint="eastAsia" w:ascii="仿宋_GB2312" w:hAnsi="仿宋" w:eastAsia="仿宋_GB2312"/>
          <w:color w:val="000000"/>
          <w:sz w:val="32"/>
          <w:szCs w:val="32"/>
        </w:rPr>
        <w:t>2.兴趣拓展类</w:t>
      </w:r>
    </w:p>
    <w:p>
      <w:pPr>
        <w:pStyle w:val="5"/>
        <w:spacing w:line="56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主要是指立足学生核心素养的培养，着眼学生应具备的、能够适应终身发展和社会发展需要的必备品格和关键能力的培养，除学科教学以外，满足基础教育阶段学生知识拓展、兴趣培养、技能提升为主要目的的微课程。</w:t>
      </w:r>
    </w:p>
    <w:p>
      <w:pPr>
        <w:pStyle w:val="5"/>
        <w:spacing w:line="56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内容建设需在校本特色课程的基础上根据微课的要求开发成体系化微课程资源，理念先进、特色鲜明、课程设计新颖。每门微课程视频数量不少于5个，不超过30个。</w:t>
      </w:r>
    </w:p>
    <w:p>
      <w:pPr>
        <w:pStyle w:val="5"/>
        <w:snapToGrid w:val="0"/>
        <w:spacing w:line="560" w:lineRule="exact"/>
        <w:ind w:right="-85" w:firstLine="640"/>
        <w:rPr>
          <w:rFonts w:ascii="仿宋_GB2312" w:hAnsi="仿宋" w:eastAsia="仿宋_GB2312"/>
          <w:color w:val="000000"/>
          <w:sz w:val="32"/>
          <w:szCs w:val="32"/>
        </w:rPr>
      </w:pPr>
      <w:r>
        <w:rPr>
          <w:rFonts w:hint="eastAsia" w:ascii="仿宋_GB2312" w:hAnsi="仿宋" w:eastAsia="仿宋_GB2312"/>
          <w:color w:val="000000"/>
          <w:sz w:val="32"/>
          <w:szCs w:val="32"/>
        </w:rPr>
        <w:t>3.教师培训类</w:t>
      </w:r>
    </w:p>
    <w:p>
      <w:pPr>
        <w:pStyle w:val="5"/>
        <w:spacing w:line="56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教师培训类微课程设计须遵循“调研先行、需求导向，专家主导、团队研发，严格论证、科学完善”的要求，密切结合我省教育改革与发展的需要，遵循教师专业发展和成长规律，准确把握培训的目标。可</w:t>
      </w:r>
      <w:r>
        <w:rPr>
          <w:rFonts w:ascii="仿宋_GB2312" w:hAnsi="仿宋" w:eastAsia="仿宋_GB2312"/>
          <w:color w:val="000000"/>
          <w:sz w:val="32"/>
          <w:szCs w:val="32"/>
        </w:rPr>
        <w:t>从</w:t>
      </w:r>
      <w:r>
        <w:rPr>
          <w:rFonts w:hint="eastAsia" w:ascii="仿宋_GB2312" w:hAnsi="仿宋" w:eastAsia="仿宋_GB2312"/>
          <w:color w:val="000000"/>
          <w:sz w:val="32"/>
          <w:szCs w:val="32"/>
        </w:rPr>
        <w:t>育人理念、教学管理、专业建设、教学技能、课堂创新、教学诊断等方面着眼，</w:t>
      </w:r>
      <w:r>
        <w:rPr>
          <w:rFonts w:ascii="仿宋_GB2312" w:hAnsi="仿宋" w:eastAsia="仿宋_GB2312"/>
          <w:color w:val="000000"/>
          <w:sz w:val="32"/>
          <w:szCs w:val="32"/>
        </w:rPr>
        <w:t>帮助教师更新观念、转变思路、提升技能</w:t>
      </w:r>
      <w:r>
        <w:rPr>
          <w:rFonts w:hint="eastAsia" w:ascii="仿宋_GB2312" w:hAnsi="仿宋" w:eastAsia="仿宋_GB2312"/>
          <w:color w:val="000000"/>
          <w:sz w:val="32"/>
          <w:szCs w:val="32"/>
        </w:rPr>
        <w:t>、解决</w:t>
      </w:r>
      <w:r>
        <w:rPr>
          <w:rFonts w:ascii="仿宋_GB2312" w:hAnsi="仿宋" w:eastAsia="仿宋_GB2312"/>
          <w:color w:val="000000"/>
          <w:sz w:val="32"/>
          <w:szCs w:val="32"/>
        </w:rPr>
        <w:t>教育中的现实问题。开发形式是教师乐于接受的</w:t>
      </w:r>
      <w:r>
        <w:rPr>
          <w:rFonts w:hint="eastAsia" w:ascii="仿宋_GB2312" w:hAnsi="仿宋" w:eastAsia="仿宋_GB2312"/>
          <w:color w:val="000000"/>
          <w:sz w:val="32"/>
          <w:szCs w:val="32"/>
        </w:rPr>
        <w:t>、</w:t>
      </w:r>
      <w:r>
        <w:rPr>
          <w:rFonts w:ascii="仿宋_GB2312" w:hAnsi="仿宋" w:eastAsia="仿宋_GB2312"/>
          <w:color w:val="000000"/>
          <w:sz w:val="32"/>
          <w:szCs w:val="32"/>
        </w:rPr>
        <w:t>活泼多样的系列</w:t>
      </w:r>
      <w:r>
        <w:rPr>
          <w:rFonts w:hint="eastAsia" w:ascii="仿宋_GB2312" w:hAnsi="仿宋" w:eastAsia="仿宋_GB2312"/>
          <w:color w:val="000000"/>
          <w:sz w:val="32"/>
          <w:szCs w:val="32"/>
        </w:rPr>
        <w:t>微课程资源。每门微课程视频数量不少于5个，不超过30个。</w:t>
      </w:r>
    </w:p>
    <w:p>
      <w:pPr>
        <w:pStyle w:val="5"/>
        <w:numPr>
          <w:ilvl w:val="0"/>
          <w:numId w:val="2"/>
        </w:numPr>
        <w:spacing w:line="56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中职教育类</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课程开发立足当前我省中职专业课程改革实际需求，以首批获奖校本教材为基础，配套开发面向中职学生自主学习的微课程。课程学习内容以专业技能学习为核心，强调操作和实践能力，改变传统数字化课程中重理论、重知识讲解的建设方式，创新课程学习方式和呈现形式，体现职业特点，帮助中职学生直观理解和掌握专业学习要点，提高学生学习兴趣，满足中职多样化教学需求。每门微课程视频数量不少于20个。</w:t>
      </w:r>
    </w:p>
    <w:p>
      <w:pPr>
        <w:pStyle w:val="5"/>
        <w:numPr>
          <w:ilvl w:val="0"/>
          <w:numId w:val="2"/>
        </w:numPr>
        <w:spacing w:line="56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特殊教育类</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参照基础教育类微课程要求。</w:t>
      </w:r>
    </w:p>
    <w:p>
      <w:pPr>
        <w:pStyle w:val="5"/>
        <w:numPr>
          <w:ilvl w:val="0"/>
          <w:numId w:val="2"/>
        </w:numPr>
        <w:spacing w:line="560" w:lineRule="exact"/>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名师专题类</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参照基础教育类和中职教育类微课程要求。</w:t>
      </w:r>
    </w:p>
    <w:p>
      <w:pPr>
        <w:pStyle w:val="5"/>
        <w:numPr>
          <w:ilvl w:val="0"/>
          <w:numId w:val="2"/>
        </w:numPr>
        <w:spacing w:line="56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信息化应用专题类</w:t>
      </w:r>
    </w:p>
    <w:p>
      <w:pPr>
        <w:pStyle w:val="5"/>
        <w:numPr>
          <w:ilvl w:val="0"/>
          <w:numId w:val="3"/>
        </w:numPr>
        <w:snapToGrid w:val="0"/>
        <w:spacing w:line="560" w:lineRule="exact"/>
        <w:ind w:right="-86" w:firstLine="640"/>
        <w:rPr>
          <w:rFonts w:ascii="仿宋_GB2312" w:eastAsia="仿宋_GB2312"/>
          <w:color w:val="000000"/>
          <w:sz w:val="32"/>
          <w:szCs w:val="32"/>
        </w:rPr>
      </w:pPr>
      <w:r>
        <w:rPr>
          <w:rFonts w:hint="eastAsia" w:ascii="仿宋_GB2312" w:eastAsia="仿宋_GB2312"/>
          <w:color w:val="000000"/>
          <w:sz w:val="32"/>
          <w:szCs w:val="32"/>
        </w:rPr>
        <w:t>地市、学校案例</w:t>
      </w:r>
    </w:p>
    <w:p>
      <w:pPr>
        <w:pStyle w:val="5"/>
        <w:snapToGrid w:val="0"/>
        <w:spacing w:line="560" w:lineRule="exact"/>
        <w:ind w:right="-86" w:firstLine="640"/>
        <w:rPr>
          <w:rFonts w:ascii="仿宋_GB2312" w:eastAsia="仿宋_GB2312"/>
          <w:color w:val="000000"/>
          <w:sz w:val="32"/>
          <w:szCs w:val="32"/>
        </w:rPr>
      </w:pPr>
      <w:r>
        <w:rPr>
          <w:rFonts w:hint="eastAsia" w:ascii="仿宋_GB2312" w:eastAsia="仿宋_GB2312"/>
          <w:color w:val="000000"/>
          <w:sz w:val="32"/>
          <w:szCs w:val="32"/>
        </w:rPr>
        <w:t>案例反映信息化建设成果，以案例的形式展示区域教育信息化建设典型及成效，展示学校特色课程、活动、教学管理方式等，点面结合，深入浅出，体现办学特色。每门微课程视频数量不超过5个。</w:t>
      </w:r>
    </w:p>
    <w:p>
      <w:pPr>
        <w:pStyle w:val="5"/>
        <w:numPr>
          <w:ilvl w:val="0"/>
          <w:numId w:val="3"/>
        </w:numPr>
        <w:snapToGrid w:val="0"/>
        <w:spacing w:line="560" w:lineRule="exact"/>
        <w:ind w:right="-86" w:firstLine="640"/>
        <w:rPr>
          <w:rFonts w:ascii="仿宋_GB2312" w:eastAsia="仿宋_GB2312"/>
          <w:color w:val="000000"/>
          <w:sz w:val="32"/>
          <w:szCs w:val="32"/>
        </w:rPr>
      </w:pPr>
      <w:r>
        <w:rPr>
          <w:rFonts w:hint="eastAsia" w:ascii="仿宋_GB2312" w:eastAsia="仿宋_GB2312"/>
          <w:color w:val="000000"/>
          <w:sz w:val="32"/>
          <w:szCs w:val="32"/>
        </w:rPr>
        <w:t>教师案例</w:t>
      </w:r>
    </w:p>
    <w:p>
      <w:pPr>
        <w:pStyle w:val="5"/>
        <w:snapToGrid w:val="0"/>
        <w:spacing w:line="560" w:lineRule="exact"/>
        <w:ind w:right="-86" w:firstLine="640"/>
        <w:rPr>
          <w:rFonts w:ascii="仿宋_GB2312" w:hAnsi="仿宋" w:eastAsia="仿宋_GB2312"/>
          <w:color w:val="000000"/>
          <w:sz w:val="32"/>
          <w:szCs w:val="32"/>
        </w:rPr>
      </w:pPr>
      <w:r>
        <w:rPr>
          <w:rFonts w:hint="eastAsia" w:ascii="仿宋_GB2312" w:eastAsia="仿宋_GB2312"/>
          <w:color w:val="000000"/>
          <w:sz w:val="32"/>
          <w:szCs w:val="32"/>
        </w:rPr>
        <w:t>案例反映教师的网络教学空间应用和创新教学成果，内容可以是教师空间创建、名师网络工作室、移动终端等信息化辅助教学案例，贴合课堂实际，有借鉴意义。每门微课程视频数量不超过5个。</w:t>
      </w:r>
    </w:p>
    <w:p>
      <w:pPr>
        <w:pStyle w:val="5"/>
        <w:numPr>
          <w:ilvl w:val="0"/>
          <w:numId w:val="1"/>
        </w:numPr>
        <w:snapToGrid w:val="0"/>
        <w:spacing w:line="560" w:lineRule="exact"/>
        <w:ind w:right="-86"/>
        <w:rPr>
          <w:rFonts w:ascii="黑体" w:hAnsi="黑体" w:eastAsia="黑体"/>
          <w:color w:val="000000"/>
          <w:sz w:val="32"/>
          <w:szCs w:val="32"/>
        </w:rPr>
      </w:pPr>
      <w:r>
        <w:rPr>
          <w:rFonts w:hint="eastAsia" w:ascii="黑体" w:hAnsi="黑体" w:eastAsia="黑体"/>
          <w:color w:val="000000"/>
          <w:sz w:val="32"/>
          <w:szCs w:val="32"/>
        </w:rPr>
        <w:t>微课程资源要素</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本次开发的每一门微课程应包括微课程基本信息一套、知识结构图一套、知识点清单一份、阶段性测试卷两套、按要求编制的若干知识点学习资源及其他相关资源。其中，每个知识点学习资源含微视频、三个微练习及相关答案、一份学习任务单及其他。</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1.微课程基本信息</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基本信息包括300字以内的微课程介绍，与课程内容、风格相符的封面图片、课程负责人与承建团队教师的个人信息等。</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2.思维导图</w:t>
      </w:r>
    </w:p>
    <w:p>
      <w:pPr>
        <w:pStyle w:val="5"/>
        <w:snapToGrid w:val="0"/>
        <w:spacing w:line="560" w:lineRule="exact"/>
        <w:ind w:right="-86" w:firstLine="640"/>
        <w:rPr>
          <w:rFonts w:ascii="仿宋_GB2312" w:hAnsi="仿宋" w:eastAsia="仿宋_GB2312"/>
          <w:color w:val="000000"/>
          <w:sz w:val="32"/>
          <w:szCs w:val="32"/>
        </w:rPr>
      </w:pPr>
      <w:r>
        <w:rPr>
          <w:rFonts w:hint="eastAsia" w:ascii="仿宋_GB2312" w:hAnsi="仿宋" w:eastAsia="仿宋_GB2312"/>
          <w:color w:val="000000"/>
          <w:sz w:val="32"/>
          <w:szCs w:val="32"/>
        </w:rPr>
        <w:t>“思维导图”是运用图文并重的技巧，把各级知识的关系用相互隶属与相关的层级图表现出来，把关键词与图像、颜色等建立记忆链接。知识结构图能帮助学生利用记忆、阅读、思维的规律快速而有效地建立知识点之间的关系。根据微课程内在知识点的逻辑关系，每门微课程制作一套统一的知识结构图，完整存入一个文件。文件格式：WORD或常见图片格式（JPG、BMP、PNG等）。</w:t>
      </w:r>
    </w:p>
    <w:p>
      <w:pPr>
        <w:pStyle w:val="5"/>
        <w:snapToGrid w:val="0"/>
        <w:spacing w:line="560" w:lineRule="exact"/>
        <w:ind w:right="-86" w:firstLine="640"/>
        <w:rPr>
          <w:rFonts w:ascii="仿宋_GB2312" w:hAnsi="仿宋" w:eastAsia="仿宋_GB2312"/>
          <w:color w:val="000000"/>
          <w:sz w:val="32"/>
          <w:szCs w:val="32"/>
        </w:rPr>
      </w:pPr>
      <w:r>
        <w:rPr>
          <w:rFonts w:hint="eastAsia" w:ascii="仿宋_GB2312" w:hAnsi="仿宋" w:eastAsia="仿宋_GB2312"/>
          <w:color w:val="000000"/>
          <w:sz w:val="32"/>
          <w:szCs w:val="32"/>
        </w:rPr>
        <w:t>3.知识（技能）点清单</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知识（技能）点清单参照下列格式编目整理：</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40"/>
        <w:gridCol w:w="540"/>
        <w:gridCol w:w="720"/>
        <w:gridCol w:w="1260"/>
        <w:gridCol w:w="2520"/>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Pr>
          <w:p>
            <w:pPr>
              <w:pStyle w:val="5"/>
              <w:snapToGrid w:val="0"/>
              <w:spacing w:line="360" w:lineRule="exact"/>
              <w:ind w:right="-86"/>
              <w:rPr>
                <w:rFonts w:ascii="仿宋_GB2312" w:hAnsi="仿宋" w:eastAsia="仿宋_GB2312"/>
                <w:color w:val="000000"/>
                <w:sz w:val="32"/>
                <w:szCs w:val="32"/>
              </w:rPr>
            </w:pPr>
            <w:r>
              <w:rPr>
                <w:rFonts w:hint="eastAsia" w:ascii="宋体" w:hAnsi="宋体" w:cs="宋体"/>
                <w:b/>
                <w:bCs/>
                <w:sz w:val="18"/>
                <w:szCs w:val="18"/>
              </w:rPr>
              <w:t>适用学科</w:t>
            </w:r>
          </w:p>
        </w:tc>
        <w:tc>
          <w:tcPr>
            <w:tcW w:w="540" w:type="dxa"/>
          </w:tcPr>
          <w:p>
            <w:pPr>
              <w:pStyle w:val="5"/>
              <w:snapToGrid w:val="0"/>
              <w:spacing w:line="360" w:lineRule="exact"/>
              <w:ind w:right="-86"/>
              <w:rPr>
                <w:rFonts w:ascii="仿宋_GB2312" w:hAnsi="仿宋" w:eastAsia="仿宋_GB2312"/>
                <w:color w:val="000000"/>
                <w:sz w:val="32"/>
                <w:szCs w:val="32"/>
              </w:rPr>
            </w:pPr>
            <w:r>
              <w:rPr>
                <w:rFonts w:hint="eastAsia" w:ascii="宋体" w:hAnsi="宋体" w:cs="宋体"/>
                <w:b/>
                <w:bCs/>
                <w:sz w:val="18"/>
                <w:szCs w:val="18"/>
              </w:rPr>
              <w:t>年级</w:t>
            </w:r>
          </w:p>
        </w:tc>
        <w:tc>
          <w:tcPr>
            <w:tcW w:w="540" w:type="dxa"/>
          </w:tcPr>
          <w:p>
            <w:pPr>
              <w:pStyle w:val="5"/>
              <w:snapToGrid w:val="0"/>
              <w:spacing w:line="360" w:lineRule="exact"/>
              <w:ind w:right="-86"/>
              <w:rPr>
                <w:rFonts w:ascii="仿宋_GB2312" w:hAnsi="仿宋" w:eastAsia="仿宋_GB2312"/>
                <w:color w:val="000000"/>
                <w:sz w:val="32"/>
                <w:szCs w:val="32"/>
              </w:rPr>
            </w:pPr>
            <w:r>
              <w:rPr>
                <w:rFonts w:hint="eastAsia" w:ascii="宋体" w:hAnsi="宋体" w:cs="宋体"/>
                <w:b/>
                <w:bCs/>
                <w:sz w:val="18"/>
                <w:szCs w:val="18"/>
              </w:rPr>
              <w:t>单元编号</w:t>
            </w:r>
          </w:p>
        </w:tc>
        <w:tc>
          <w:tcPr>
            <w:tcW w:w="720" w:type="dxa"/>
          </w:tcPr>
          <w:p>
            <w:pPr>
              <w:pStyle w:val="5"/>
              <w:snapToGrid w:val="0"/>
              <w:spacing w:line="360" w:lineRule="exact"/>
              <w:ind w:right="-86"/>
              <w:rPr>
                <w:rFonts w:ascii="仿宋_GB2312" w:hAnsi="仿宋" w:eastAsia="仿宋_GB2312"/>
                <w:color w:val="000000"/>
                <w:sz w:val="32"/>
                <w:szCs w:val="32"/>
              </w:rPr>
            </w:pPr>
            <w:r>
              <w:rPr>
                <w:rFonts w:hint="eastAsia" w:ascii="宋体" w:hAnsi="宋体" w:cs="宋体"/>
                <w:b/>
                <w:bCs/>
                <w:sz w:val="18"/>
                <w:szCs w:val="18"/>
              </w:rPr>
              <w:t>知识点编号</w:t>
            </w:r>
          </w:p>
        </w:tc>
        <w:tc>
          <w:tcPr>
            <w:tcW w:w="1260" w:type="dxa"/>
          </w:tcPr>
          <w:p>
            <w:pPr>
              <w:pStyle w:val="5"/>
              <w:snapToGrid w:val="0"/>
              <w:spacing w:line="360" w:lineRule="exact"/>
              <w:ind w:right="-86"/>
              <w:rPr>
                <w:rFonts w:ascii="仿宋_GB2312" w:hAnsi="仿宋" w:eastAsia="仿宋_GB2312"/>
                <w:color w:val="000000"/>
                <w:sz w:val="32"/>
                <w:szCs w:val="32"/>
              </w:rPr>
            </w:pPr>
            <w:r>
              <w:rPr>
                <w:rFonts w:hint="eastAsia" w:ascii="宋体" w:hAnsi="宋体" w:cs="宋体"/>
                <w:b/>
                <w:bCs/>
                <w:sz w:val="18"/>
                <w:szCs w:val="18"/>
              </w:rPr>
              <w:t>知识点名称</w:t>
            </w:r>
          </w:p>
        </w:tc>
        <w:tc>
          <w:tcPr>
            <w:tcW w:w="2520" w:type="dxa"/>
          </w:tcPr>
          <w:p>
            <w:pPr>
              <w:pStyle w:val="5"/>
              <w:snapToGrid w:val="0"/>
              <w:spacing w:line="360" w:lineRule="exact"/>
              <w:ind w:right="-86"/>
              <w:rPr>
                <w:rFonts w:ascii="仿宋_GB2312" w:hAnsi="仿宋" w:eastAsia="仿宋_GB2312"/>
                <w:color w:val="000000"/>
                <w:sz w:val="32"/>
                <w:szCs w:val="32"/>
              </w:rPr>
            </w:pPr>
            <w:r>
              <w:rPr>
                <w:rFonts w:hint="eastAsia" w:ascii="宋体" w:hAnsi="宋体" w:cs="宋体"/>
                <w:b/>
                <w:bCs/>
                <w:sz w:val="18"/>
                <w:szCs w:val="18"/>
              </w:rPr>
              <w:t>知识点描述</w:t>
            </w:r>
          </w:p>
        </w:tc>
        <w:tc>
          <w:tcPr>
            <w:tcW w:w="900" w:type="dxa"/>
          </w:tcPr>
          <w:p>
            <w:pPr>
              <w:pStyle w:val="5"/>
              <w:snapToGrid w:val="0"/>
              <w:spacing w:line="360" w:lineRule="exact"/>
              <w:ind w:right="-86"/>
              <w:rPr>
                <w:rFonts w:ascii="仿宋_GB2312" w:hAnsi="仿宋" w:eastAsia="仿宋_GB2312"/>
                <w:color w:val="000000"/>
                <w:sz w:val="32"/>
                <w:szCs w:val="32"/>
              </w:rPr>
            </w:pPr>
            <w:r>
              <w:rPr>
                <w:rFonts w:hint="eastAsia" w:ascii="宋体" w:hAnsi="宋体" w:cs="宋体"/>
                <w:b/>
                <w:bCs/>
                <w:sz w:val="18"/>
                <w:szCs w:val="18"/>
              </w:rPr>
              <w:t>目标类型</w:t>
            </w:r>
          </w:p>
        </w:tc>
        <w:tc>
          <w:tcPr>
            <w:tcW w:w="1440" w:type="dxa"/>
          </w:tcPr>
          <w:p>
            <w:pPr>
              <w:pStyle w:val="5"/>
              <w:snapToGrid w:val="0"/>
              <w:spacing w:line="360" w:lineRule="exact"/>
              <w:ind w:right="-86"/>
              <w:rPr>
                <w:rFonts w:ascii="仿宋_GB2312" w:hAnsi="仿宋" w:eastAsia="仿宋_GB2312"/>
                <w:color w:val="000000"/>
                <w:sz w:val="32"/>
                <w:szCs w:val="32"/>
              </w:rPr>
            </w:pPr>
            <w:r>
              <w:rPr>
                <w:rFonts w:hint="eastAsia" w:ascii="宋体" w:hAnsi="宋体" w:cs="宋体"/>
                <w:b/>
                <w:bCs/>
                <w:sz w:val="18"/>
                <w:szCs w:val="18"/>
              </w:rPr>
              <w:t>关联知识点编号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例：小学数学</w:t>
            </w:r>
          </w:p>
        </w:tc>
        <w:tc>
          <w:tcPr>
            <w:tcW w:w="540" w:type="dxa"/>
          </w:tcPr>
          <w:p>
            <w:pPr>
              <w:pStyle w:val="5"/>
              <w:snapToGrid w:val="0"/>
              <w:spacing w:line="360" w:lineRule="exact"/>
              <w:ind w:right="-85" w:firstLine="90" w:firstLineChars="50"/>
              <w:rPr>
                <w:rFonts w:ascii="仿宋_GB2312" w:hAnsi="仿宋" w:eastAsia="仿宋_GB2312"/>
                <w:color w:val="000000"/>
                <w:sz w:val="18"/>
                <w:szCs w:val="18"/>
              </w:rPr>
            </w:pPr>
            <w:r>
              <w:rPr>
                <w:rFonts w:hint="eastAsia" w:ascii="仿宋_GB2312" w:hAnsi="仿宋" w:eastAsia="仿宋_GB2312"/>
                <w:color w:val="000000"/>
                <w:sz w:val="18"/>
                <w:szCs w:val="18"/>
              </w:rPr>
              <w:t>五</w:t>
            </w:r>
          </w:p>
        </w:tc>
        <w:tc>
          <w:tcPr>
            <w:tcW w:w="540"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01</w:t>
            </w:r>
          </w:p>
        </w:tc>
        <w:tc>
          <w:tcPr>
            <w:tcW w:w="720"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01</w:t>
            </w:r>
          </w:p>
        </w:tc>
        <w:tc>
          <w:tcPr>
            <w:tcW w:w="1260"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小数乘整数</w:t>
            </w:r>
          </w:p>
        </w:tc>
        <w:tc>
          <w:tcPr>
            <w:tcW w:w="2520"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探索理解小数乘整数的计算方法，正确进行相关的口算和笔算。</w:t>
            </w:r>
          </w:p>
        </w:tc>
        <w:tc>
          <w:tcPr>
            <w:tcW w:w="900"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理解</w:t>
            </w:r>
          </w:p>
        </w:tc>
        <w:tc>
          <w:tcPr>
            <w:tcW w:w="1440" w:type="dxa"/>
          </w:tcPr>
          <w:p>
            <w:pPr>
              <w:pStyle w:val="5"/>
              <w:snapToGrid w:val="0"/>
              <w:spacing w:line="360" w:lineRule="exact"/>
              <w:ind w:right="-85"/>
              <w:rPr>
                <w:rFonts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pStyle w:val="5"/>
              <w:snapToGrid w:val="0"/>
              <w:spacing w:line="360" w:lineRule="exact"/>
              <w:ind w:right="-85"/>
              <w:rPr>
                <w:rFonts w:ascii="仿宋_GB2312" w:hAnsi="仿宋" w:eastAsia="仿宋_GB2312"/>
                <w:color w:val="000000"/>
                <w:sz w:val="18"/>
                <w:szCs w:val="18"/>
              </w:rPr>
            </w:pPr>
          </w:p>
        </w:tc>
        <w:tc>
          <w:tcPr>
            <w:tcW w:w="540" w:type="dxa"/>
          </w:tcPr>
          <w:p>
            <w:pPr>
              <w:pStyle w:val="5"/>
              <w:snapToGrid w:val="0"/>
              <w:spacing w:line="360" w:lineRule="exact"/>
              <w:ind w:right="-85" w:firstLine="90" w:firstLineChars="50"/>
              <w:rPr>
                <w:rFonts w:ascii="仿宋_GB2312" w:hAnsi="仿宋" w:eastAsia="仿宋_GB2312"/>
                <w:color w:val="000000"/>
                <w:sz w:val="18"/>
                <w:szCs w:val="18"/>
              </w:rPr>
            </w:pPr>
            <w:r>
              <w:rPr>
                <w:rFonts w:hint="eastAsia" w:ascii="仿宋_GB2312" w:hAnsi="仿宋" w:eastAsia="仿宋_GB2312"/>
                <w:color w:val="000000"/>
                <w:sz w:val="18"/>
                <w:szCs w:val="18"/>
              </w:rPr>
              <w:t>五</w:t>
            </w:r>
          </w:p>
        </w:tc>
        <w:tc>
          <w:tcPr>
            <w:tcW w:w="540"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01</w:t>
            </w:r>
          </w:p>
        </w:tc>
        <w:tc>
          <w:tcPr>
            <w:tcW w:w="720"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02</w:t>
            </w:r>
          </w:p>
        </w:tc>
        <w:tc>
          <w:tcPr>
            <w:tcW w:w="1260"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积的近似数</w:t>
            </w:r>
          </w:p>
        </w:tc>
        <w:tc>
          <w:tcPr>
            <w:tcW w:w="2520"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能根据要求用四舍五入的方法求出小数乘法的积的近似值。</w:t>
            </w:r>
          </w:p>
        </w:tc>
        <w:tc>
          <w:tcPr>
            <w:tcW w:w="900"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掌握</w:t>
            </w:r>
          </w:p>
        </w:tc>
        <w:tc>
          <w:tcPr>
            <w:tcW w:w="1440" w:type="dxa"/>
          </w:tcPr>
          <w:p>
            <w:pPr>
              <w:pStyle w:val="5"/>
              <w:snapToGrid w:val="0"/>
              <w:spacing w:line="360" w:lineRule="exact"/>
              <w:ind w:right="-85"/>
              <w:rPr>
                <w:rFonts w:ascii="仿宋_GB2312" w:hAnsi="仿宋" w:eastAsia="仿宋_GB2312"/>
                <w:color w:val="000000"/>
                <w:sz w:val="18"/>
                <w:szCs w:val="18"/>
              </w:rPr>
            </w:pPr>
            <w:r>
              <w:rPr>
                <w:rFonts w:hint="eastAsia" w:ascii="仿宋_GB2312" w:hAnsi="仿宋" w:eastAsia="仿宋_GB2312"/>
                <w:color w:val="000000"/>
                <w:sz w:val="18"/>
                <w:szCs w:val="18"/>
              </w:rPr>
              <w:t>01单元01</w:t>
            </w:r>
          </w:p>
        </w:tc>
      </w:tr>
    </w:tbl>
    <w:p>
      <w:pPr>
        <w:pStyle w:val="5"/>
        <w:snapToGrid w:val="0"/>
        <w:spacing w:line="560" w:lineRule="exact"/>
        <w:ind w:right="-86" w:firstLine="640"/>
        <w:rPr>
          <w:rFonts w:ascii="仿宋_GB2312" w:hAnsi="仿宋" w:eastAsia="仿宋_GB2312"/>
          <w:color w:val="000000"/>
          <w:sz w:val="32"/>
          <w:szCs w:val="32"/>
        </w:rPr>
      </w:pPr>
      <w:r>
        <w:rPr>
          <w:rFonts w:hint="eastAsia" w:ascii="仿宋_GB2312" w:hAnsi="仿宋" w:eastAsia="仿宋_GB2312"/>
          <w:color w:val="000000"/>
          <w:sz w:val="32"/>
          <w:szCs w:val="32"/>
        </w:rPr>
        <w:t>4.测试卷</w:t>
      </w:r>
    </w:p>
    <w:p>
      <w:pPr>
        <w:pStyle w:val="2"/>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为了帮助学习者更好地自我检测学习内容的掌握情况，也便于提供课程开发教师直观有效地掌握课程学习者的学习状况，有效调整、修改课程内容，须提供课程学习阶段性（中期和末期）综合卷各一套及相关评测标准和参考答案。非学科指导类微课程可根据课程实际情况编辑两套针对学习者测试的练习或问卷，并提供参考答案、评测标准。</w:t>
      </w:r>
    </w:p>
    <w:p>
      <w:pPr>
        <w:pStyle w:val="5"/>
        <w:snapToGrid w:val="0"/>
        <w:spacing w:line="560" w:lineRule="exact"/>
        <w:ind w:right="-86" w:firstLine="640"/>
        <w:rPr>
          <w:rFonts w:ascii="仿宋_GB2312" w:hAnsi="仿宋" w:eastAsia="仿宋_GB2312"/>
          <w:color w:val="000000"/>
          <w:sz w:val="32"/>
          <w:szCs w:val="32"/>
        </w:rPr>
      </w:pPr>
      <w:r>
        <w:rPr>
          <w:rFonts w:hint="eastAsia" w:ascii="仿宋_GB2312" w:hAnsi="仿宋" w:eastAsia="仿宋_GB2312"/>
          <w:color w:val="000000"/>
          <w:sz w:val="32"/>
          <w:szCs w:val="32"/>
        </w:rPr>
        <w:t>5.微视频</w:t>
      </w:r>
    </w:p>
    <w:p>
      <w:pPr>
        <w:pStyle w:val="5"/>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微视频是微课程的主要载体。每个微视频具有相对完整的结构，对应知识点清单中的每个知识点，重点解决一个问题，而微视频之间则由内在知识体系关联，紧紧围绕“知识结构图”系统化设计开发。每个微视频时长为5-8分钟（最长不超过10分钟），“浙江微课网”上传视频格式为MP4，网络上传时，对应知识点清单认真仔细填写每个微课视频标题名称，与提供的知识点清单目上的知识点名称、排序、数量完全对应。未经压缩的视频源文件请妥善留存，以备后用。</w:t>
      </w:r>
    </w:p>
    <w:p>
      <w:pPr>
        <w:pStyle w:val="5"/>
        <w:snapToGrid w:val="0"/>
        <w:spacing w:line="560" w:lineRule="exact"/>
        <w:ind w:right="-86" w:firstLine="640"/>
        <w:rPr>
          <w:rFonts w:ascii="仿宋_GB2312" w:hAnsi="仿宋" w:eastAsia="仿宋_GB2312"/>
          <w:color w:val="000000"/>
          <w:sz w:val="32"/>
          <w:szCs w:val="32"/>
        </w:rPr>
      </w:pPr>
      <w:r>
        <w:rPr>
          <w:rFonts w:hint="eastAsia" w:ascii="仿宋_GB2312" w:hAnsi="仿宋" w:eastAsia="仿宋_GB2312"/>
          <w:color w:val="000000"/>
          <w:sz w:val="32"/>
          <w:szCs w:val="32"/>
        </w:rPr>
        <w:t>6.微练习</w:t>
      </w:r>
    </w:p>
    <w:p>
      <w:pPr>
        <w:pStyle w:val="5"/>
        <w:snapToGrid w:val="0"/>
        <w:spacing w:line="560" w:lineRule="exact"/>
        <w:ind w:right="-86" w:firstLine="640"/>
        <w:rPr>
          <w:rFonts w:ascii="仿宋_GB2312" w:hAnsi="仿宋" w:eastAsia="仿宋_GB2312"/>
          <w:color w:val="000000"/>
          <w:sz w:val="32"/>
          <w:szCs w:val="32"/>
        </w:rPr>
      </w:pPr>
      <w:r>
        <w:rPr>
          <w:rFonts w:hint="eastAsia" w:ascii="仿宋_GB2312" w:hAnsi="仿宋" w:eastAsia="仿宋_GB2312"/>
          <w:color w:val="000000"/>
          <w:sz w:val="32"/>
          <w:szCs w:val="32"/>
        </w:rPr>
        <w:t>微练习主要用于学习者自我评测或引导学习者开展进一步拓展性思考。每一个微视频要求相应设计3个左右练习题，客观题应给出标准答案，主观题应给出评测要点。文件格式：WORD。</w:t>
      </w:r>
    </w:p>
    <w:p>
      <w:pPr>
        <w:pStyle w:val="5"/>
        <w:snapToGrid w:val="0"/>
        <w:spacing w:line="560" w:lineRule="exact"/>
        <w:ind w:right="-86" w:firstLine="640"/>
        <w:rPr>
          <w:rFonts w:ascii="仿宋_GB2312" w:hAnsi="仿宋" w:eastAsia="仿宋_GB2312"/>
          <w:color w:val="000000"/>
          <w:sz w:val="32"/>
          <w:szCs w:val="32"/>
        </w:rPr>
      </w:pPr>
      <w:r>
        <w:rPr>
          <w:rFonts w:hint="eastAsia" w:ascii="仿宋_GB2312" w:hAnsi="仿宋" w:eastAsia="仿宋_GB2312"/>
          <w:color w:val="000000"/>
          <w:sz w:val="32"/>
          <w:szCs w:val="32"/>
        </w:rPr>
        <w:t>7.学习任务单</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学习任务单”是由教师设计，用于为学习者自主学习微课程提供“学什么和怎样学”建议的学习导航，包括学习任务、学习过程、学习方法建议以及配套学习资源推荐。学习任务单强调任务驱动和问题导向，把学习任务转化为激发学生思考的问题，让学生在问题解决过程中达成学习目标。学习任务单格式模板请从浙江微课网（http://wk.zjer.cn）首页下载。要求每个知识点学习资源中与微视频配套设计1个学习任务单。文件格式：WORD。参考格式如下：</w:t>
      </w:r>
    </w:p>
    <w:tbl>
      <w:tblPr>
        <w:tblStyle w:val="4"/>
        <w:tblW w:w="8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2" w:type="dxa"/>
            <w:vMerge w:val="restart"/>
            <w:tcBorders>
              <w:top w:val="single" w:color="auto" w:sz="4" w:space="0"/>
              <w:left w:val="single" w:color="auto" w:sz="4" w:space="0"/>
              <w:right w:val="single" w:color="auto" w:sz="4" w:space="0"/>
            </w:tcBorders>
          </w:tcPr>
          <w:p>
            <w:pPr>
              <w:rPr>
                <w:rFonts w:ascii="宋体" w:hAnsi="宋体" w:cs="宋体"/>
                <w:b/>
                <w:bCs/>
                <w:color w:val="000000"/>
              </w:rPr>
            </w:pPr>
          </w:p>
          <w:p>
            <w:pPr>
              <w:rPr>
                <w:rFonts w:ascii="宋体" w:hAnsi="宋体" w:cs="宋体"/>
                <w:b/>
                <w:bCs/>
                <w:color w:val="000000"/>
              </w:rPr>
            </w:pPr>
          </w:p>
          <w:p>
            <w:pPr>
              <w:rPr>
                <w:rFonts w:ascii="宋体" w:hAnsi="宋体" w:cs="宋体"/>
                <w:b/>
                <w:bCs/>
                <w:color w:val="000000"/>
              </w:rPr>
            </w:pPr>
            <w:r>
              <w:rPr>
                <w:rFonts w:hint="eastAsia" w:ascii="宋体" w:hAnsi="宋体" w:cs="宋体"/>
                <w:b/>
                <w:bCs/>
                <w:color w:val="000000"/>
              </w:rPr>
              <w:t>学</w:t>
            </w:r>
          </w:p>
          <w:p>
            <w:pPr>
              <w:rPr>
                <w:rFonts w:ascii="宋体" w:hAnsi="宋体" w:cs="宋体"/>
                <w:b/>
                <w:bCs/>
                <w:color w:val="000000"/>
              </w:rPr>
            </w:pPr>
            <w:r>
              <w:rPr>
                <w:rFonts w:hint="eastAsia" w:ascii="宋体" w:hAnsi="宋体" w:cs="宋体"/>
                <w:b/>
                <w:bCs/>
                <w:color w:val="000000"/>
              </w:rPr>
              <w:t>习</w:t>
            </w:r>
          </w:p>
          <w:p>
            <w:pPr>
              <w:rPr>
                <w:rFonts w:ascii="宋体" w:hAnsi="宋体" w:cs="宋体"/>
                <w:b/>
                <w:bCs/>
                <w:color w:val="000000"/>
              </w:rPr>
            </w:pPr>
            <w:r>
              <w:rPr>
                <w:rFonts w:hint="eastAsia" w:ascii="宋体" w:hAnsi="宋体" w:cs="宋体"/>
                <w:b/>
                <w:bCs/>
                <w:color w:val="000000"/>
              </w:rPr>
              <w:t>任</w:t>
            </w:r>
          </w:p>
          <w:p>
            <w:pPr>
              <w:rPr>
                <w:rFonts w:ascii="宋体" w:hAnsi="宋体" w:cs="宋体"/>
                <w:b/>
                <w:bCs/>
                <w:color w:val="000000"/>
              </w:rPr>
            </w:pPr>
            <w:r>
              <w:rPr>
                <w:rFonts w:hint="eastAsia" w:ascii="宋体" w:hAnsi="宋体" w:cs="宋体"/>
                <w:b/>
                <w:bCs/>
                <w:color w:val="000000"/>
              </w:rPr>
              <w:t>务</w:t>
            </w:r>
          </w:p>
          <w:p>
            <w:pPr>
              <w:rPr>
                <w:rFonts w:ascii="宋体" w:hAnsi="宋体" w:cs="宋体"/>
                <w:b/>
                <w:bCs/>
                <w:color w:val="000000"/>
              </w:rPr>
            </w:pPr>
            <w:r>
              <w:rPr>
                <w:rFonts w:hint="eastAsia" w:ascii="宋体" w:hAnsi="宋体" w:cs="宋体"/>
                <w:b/>
                <w:bCs/>
                <w:color w:val="000000"/>
              </w:rPr>
              <w:t>单</w:t>
            </w:r>
          </w:p>
        </w:tc>
        <w:tc>
          <w:tcPr>
            <w:tcW w:w="7231" w:type="dxa"/>
            <w:tcBorders>
              <w:top w:val="single" w:color="auto" w:sz="4" w:space="0"/>
              <w:left w:val="single" w:color="auto" w:sz="4" w:space="0"/>
              <w:bottom w:val="single" w:color="auto" w:sz="4" w:space="0"/>
              <w:right w:val="single" w:color="auto" w:sz="4" w:space="0"/>
            </w:tcBorders>
          </w:tcPr>
          <w:p>
            <w:pPr>
              <w:numPr>
                <w:ilvl w:val="0"/>
                <w:numId w:val="4"/>
              </w:numPr>
              <w:rPr>
                <w:b/>
                <w:bCs/>
                <w:color w:val="000000"/>
              </w:rPr>
            </w:pPr>
            <w:r>
              <w:rPr>
                <w:rFonts w:hint="eastAsia" w:ascii="宋体" w:hAnsi="宋体" w:cs="宋体"/>
                <w:b/>
                <w:bCs/>
                <w:color w:val="000000"/>
              </w:rPr>
              <w:t>学习指南</w:t>
            </w:r>
            <w:r>
              <w:rPr>
                <w:rFonts w:ascii="宋体" w:hAnsi="宋体" w:cs="宋体"/>
                <w:b/>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2" w:type="dxa"/>
            <w:vMerge w:val="continue"/>
            <w:tcBorders>
              <w:left w:val="single" w:color="auto" w:sz="4" w:space="0"/>
              <w:right w:val="single" w:color="auto" w:sz="4" w:space="0"/>
            </w:tcBorders>
          </w:tcPr>
          <w:p>
            <w:pPr>
              <w:pStyle w:val="6"/>
              <w:numPr>
                <w:ilvl w:val="0"/>
                <w:numId w:val="5"/>
              </w:numPr>
              <w:ind w:firstLineChars="0"/>
              <w:rPr>
                <w:rFonts w:cs="宋体"/>
                <w:color w:val="000000"/>
              </w:rPr>
            </w:pPr>
          </w:p>
        </w:tc>
        <w:tc>
          <w:tcPr>
            <w:tcW w:w="723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s="宋体"/>
                <w:color w:val="000000"/>
                <w:szCs w:val="21"/>
              </w:rPr>
              <w:t>1．“微课程”名称：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2" w:type="dxa"/>
            <w:vMerge w:val="continue"/>
            <w:tcBorders>
              <w:left w:val="single" w:color="auto" w:sz="4" w:space="0"/>
              <w:right w:val="single" w:color="auto" w:sz="4" w:space="0"/>
            </w:tcBorders>
          </w:tcPr>
          <w:p>
            <w:pPr>
              <w:pStyle w:val="6"/>
              <w:numPr>
                <w:ilvl w:val="0"/>
                <w:numId w:val="5"/>
              </w:numPr>
              <w:ind w:firstLineChars="0"/>
              <w:rPr>
                <w:rFonts w:cs="宋体"/>
                <w:color w:val="000000"/>
              </w:rPr>
            </w:pPr>
          </w:p>
        </w:tc>
        <w:tc>
          <w:tcPr>
            <w:tcW w:w="7231" w:type="dxa"/>
            <w:tcBorders>
              <w:top w:val="single" w:color="auto" w:sz="4" w:space="0"/>
              <w:left w:val="single" w:color="auto" w:sz="4" w:space="0"/>
              <w:bottom w:val="single" w:color="auto" w:sz="4" w:space="0"/>
              <w:right w:val="single" w:color="auto" w:sz="4" w:space="0"/>
            </w:tcBorders>
          </w:tcPr>
          <w:p>
            <w:pPr>
              <w:pStyle w:val="6"/>
              <w:ind w:firstLine="0" w:firstLineChars="0"/>
              <w:rPr>
                <w:rFonts w:ascii="宋体" w:hAnsi="宋体"/>
                <w:color w:val="000000"/>
                <w:sz w:val="21"/>
                <w:szCs w:val="21"/>
              </w:rPr>
            </w:pPr>
            <w:r>
              <w:rPr>
                <w:rFonts w:hint="eastAsia" w:ascii="宋体" w:hAnsi="宋体" w:cs="宋体"/>
                <w:color w:val="000000"/>
                <w:sz w:val="21"/>
                <w:szCs w:val="21"/>
              </w:rPr>
              <w:t>2．达成目标：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2" w:type="dxa"/>
            <w:vMerge w:val="continue"/>
            <w:tcBorders>
              <w:left w:val="single" w:color="auto" w:sz="4" w:space="0"/>
              <w:right w:val="single" w:color="auto" w:sz="4" w:space="0"/>
            </w:tcBorders>
          </w:tcPr>
          <w:p>
            <w:pPr>
              <w:ind w:left="210" w:hanging="210" w:hangingChars="100"/>
              <w:jc w:val="left"/>
              <w:rPr>
                <w:color w:val="000000"/>
              </w:rPr>
            </w:pPr>
          </w:p>
        </w:tc>
        <w:tc>
          <w:tcPr>
            <w:tcW w:w="7231" w:type="dxa"/>
            <w:tcBorders>
              <w:top w:val="single" w:color="auto" w:sz="4" w:space="0"/>
              <w:left w:val="single" w:color="auto" w:sz="4" w:space="0"/>
              <w:bottom w:val="single" w:color="auto" w:sz="4" w:space="0"/>
              <w:right w:val="single" w:color="auto" w:sz="4" w:space="0"/>
            </w:tcBorders>
          </w:tcPr>
          <w:p>
            <w:pPr>
              <w:ind w:left="210" w:hanging="210" w:hangingChars="100"/>
              <w:jc w:val="left"/>
              <w:rPr>
                <w:rFonts w:ascii="宋体" w:hAnsi="宋体"/>
                <w:color w:val="000000"/>
                <w:szCs w:val="21"/>
              </w:rPr>
            </w:pPr>
            <w:r>
              <w:rPr>
                <w:rFonts w:hint="eastAsia" w:ascii="宋体" w:hAnsi="宋体"/>
                <w:color w:val="000000"/>
                <w:szCs w:val="21"/>
              </w:rPr>
              <w:t>3.</w:t>
            </w:r>
            <w:r>
              <w:rPr>
                <w:rFonts w:ascii="宋体" w:hAnsi="宋体"/>
                <w:color w:val="000000"/>
                <w:szCs w:val="21"/>
              </w:rPr>
              <w:t xml:space="preserve"> </w:t>
            </w:r>
            <w:r>
              <w:rPr>
                <w:rFonts w:hint="eastAsia" w:ascii="宋体" w:hAnsi="宋体" w:cs="宋体"/>
                <w:color w:val="000000"/>
                <w:szCs w:val="21"/>
              </w:rPr>
              <w:t>学习方法建议：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812" w:type="dxa"/>
            <w:vMerge w:val="continue"/>
            <w:tcBorders>
              <w:left w:val="single" w:color="auto" w:sz="4" w:space="0"/>
              <w:right w:val="single" w:color="auto" w:sz="4" w:space="0"/>
            </w:tcBorders>
          </w:tcPr>
          <w:p>
            <w:pPr>
              <w:rPr>
                <w:color w:val="000000"/>
              </w:rPr>
            </w:pPr>
          </w:p>
        </w:tc>
        <w:tc>
          <w:tcPr>
            <w:tcW w:w="723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4.</w:t>
            </w:r>
            <w:r>
              <w:rPr>
                <w:rFonts w:hint="eastAsia" w:ascii="宋体" w:hAnsi="宋体" w:cs="宋体"/>
                <w:color w:val="000000"/>
                <w:szCs w:val="21"/>
              </w:rPr>
              <w:t>学习形式预告：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2" w:type="dxa"/>
            <w:vMerge w:val="continue"/>
            <w:tcBorders>
              <w:left w:val="single" w:color="auto" w:sz="4" w:space="0"/>
              <w:right w:val="single" w:color="auto" w:sz="4" w:space="0"/>
            </w:tcBorders>
          </w:tcPr>
          <w:p>
            <w:pPr>
              <w:rPr>
                <w:rFonts w:ascii="宋体" w:hAnsi="宋体" w:cs="宋体"/>
                <w:b/>
                <w:bCs/>
                <w:color w:val="000000"/>
              </w:rPr>
            </w:pPr>
          </w:p>
        </w:tc>
        <w:tc>
          <w:tcPr>
            <w:tcW w:w="7231" w:type="dxa"/>
            <w:tcBorders>
              <w:top w:val="single" w:color="auto" w:sz="4" w:space="0"/>
              <w:left w:val="single" w:color="auto" w:sz="4" w:space="0"/>
              <w:bottom w:val="single" w:color="auto" w:sz="4" w:space="0"/>
              <w:right w:val="single" w:color="auto" w:sz="4" w:space="0"/>
            </w:tcBorders>
          </w:tcPr>
          <w:p>
            <w:pPr>
              <w:numPr>
                <w:ilvl w:val="0"/>
                <w:numId w:val="4"/>
              </w:numPr>
              <w:rPr>
                <w:rFonts w:ascii="宋体" w:hAnsi="宋体" w:cs="宋体"/>
                <w:b/>
                <w:bCs/>
                <w:color w:val="000000"/>
              </w:rPr>
            </w:pPr>
            <w:r>
              <w:rPr>
                <w:rFonts w:hint="eastAsia" w:ascii="宋体" w:hAnsi="宋体" w:cs="宋体"/>
                <w:b/>
                <w:bCs/>
                <w:color w:val="000000"/>
              </w:rPr>
              <w:t>学习任务</w:t>
            </w:r>
          </w:p>
          <w:p>
            <w:pP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2" w:type="dxa"/>
            <w:vMerge w:val="continue"/>
            <w:tcBorders>
              <w:left w:val="single" w:color="auto" w:sz="4" w:space="0"/>
              <w:right w:val="single" w:color="auto" w:sz="4" w:space="0"/>
            </w:tcBorders>
          </w:tcPr>
          <w:p>
            <w:pPr>
              <w:rPr>
                <w:rFonts w:ascii="宋体" w:hAnsi="宋体" w:cs="宋体"/>
                <w:b/>
                <w:bCs/>
                <w:color w:val="000000"/>
              </w:rPr>
            </w:pPr>
          </w:p>
        </w:tc>
        <w:tc>
          <w:tcPr>
            <w:tcW w:w="7231" w:type="dxa"/>
            <w:tcBorders>
              <w:top w:val="single" w:color="auto" w:sz="4" w:space="0"/>
              <w:left w:val="single" w:color="auto" w:sz="4" w:space="0"/>
              <w:bottom w:val="single" w:color="auto" w:sz="4" w:space="0"/>
              <w:right w:val="single" w:color="auto" w:sz="4" w:space="0"/>
            </w:tcBorders>
          </w:tcPr>
          <w:p>
            <w:pPr>
              <w:rPr>
                <w:rFonts w:ascii="宋体" w:hAnsi="宋体" w:cs="宋体"/>
                <w:b/>
                <w:bCs/>
                <w:color w:val="000000"/>
              </w:rPr>
            </w:pPr>
            <w:r>
              <w:rPr>
                <w:rFonts w:hint="eastAsia" w:ascii="宋体" w:hAnsi="宋体" w:cs="宋体"/>
                <w:b/>
                <w:bCs/>
                <w:color w:val="000000"/>
              </w:rPr>
              <w:t>三、资源链接</w:t>
            </w:r>
          </w:p>
          <w:p>
            <w:pPr>
              <w:ind w:left="450"/>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2" w:type="dxa"/>
            <w:vMerge w:val="continue"/>
            <w:tcBorders>
              <w:left w:val="single" w:color="auto" w:sz="4" w:space="0"/>
              <w:bottom w:val="single" w:color="auto" w:sz="4" w:space="0"/>
              <w:right w:val="single" w:color="auto" w:sz="4" w:space="0"/>
            </w:tcBorders>
          </w:tcPr>
          <w:p>
            <w:pPr>
              <w:rPr>
                <w:rFonts w:ascii="宋体" w:hAnsi="宋体" w:cs="宋体"/>
                <w:b/>
                <w:bCs/>
                <w:color w:val="000000"/>
              </w:rPr>
            </w:pPr>
          </w:p>
        </w:tc>
        <w:tc>
          <w:tcPr>
            <w:tcW w:w="7231" w:type="dxa"/>
            <w:tcBorders>
              <w:top w:val="single" w:color="auto" w:sz="4" w:space="0"/>
              <w:left w:val="single" w:color="auto" w:sz="4" w:space="0"/>
              <w:bottom w:val="single" w:color="auto" w:sz="4" w:space="0"/>
              <w:right w:val="single" w:color="auto" w:sz="4" w:space="0"/>
            </w:tcBorders>
          </w:tcPr>
          <w:p>
            <w:pPr>
              <w:rPr>
                <w:color w:val="000000"/>
                <w:sz w:val="18"/>
                <w:szCs w:val="18"/>
              </w:rPr>
            </w:pPr>
            <w:r>
              <w:rPr>
                <w:rFonts w:hint="eastAsia" w:ascii="宋体" w:hAnsi="宋体" w:cs="宋体"/>
                <w:b/>
                <w:bCs/>
                <w:color w:val="000000"/>
              </w:rPr>
              <w:t>四、困惑与建议</w:t>
            </w:r>
            <w:r>
              <w:rPr>
                <w:rFonts w:hint="eastAsia" w:ascii="宋体" w:hAnsi="宋体" w:cs="宋体"/>
                <w:color w:val="000000"/>
                <w:sz w:val="18"/>
                <w:szCs w:val="18"/>
              </w:rPr>
              <w:t>（提示：此项由学生自主学习之后填写）</w:t>
            </w:r>
          </w:p>
          <w:p>
            <w:pPr>
              <w:rPr>
                <w:color w:val="000000"/>
                <w:sz w:val="18"/>
                <w:szCs w:val="18"/>
              </w:rPr>
            </w:pPr>
          </w:p>
        </w:tc>
      </w:tr>
    </w:tbl>
    <w:p>
      <w:pPr>
        <w:pStyle w:val="5"/>
        <w:snapToGrid w:val="0"/>
        <w:spacing w:line="560" w:lineRule="exact"/>
        <w:ind w:right="-86" w:firstLine="640"/>
        <w:rPr>
          <w:rFonts w:ascii="黑体" w:hAnsi="黑体" w:eastAsia="黑体"/>
          <w:color w:val="000000"/>
          <w:sz w:val="32"/>
          <w:szCs w:val="32"/>
        </w:rPr>
      </w:pPr>
      <w:r>
        <w:rPr>
          <w:rFonts w:hint="eastAsia" w:ascii="黑体" w:hAnsi="黑体" w:eastAsia="黑体"/>
          <w:color w:val="000000"/>
          <w:sz w:val="32"/>
          <w:szCs w:val="32"/>
        </w:rPr>
        <w:t>三、技术要求</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本次开发的微课程可以采用视频拍摄、屏幕录制、多媒体软件合成或综合运用以上多种方式进行制作，制作完成的微课程应符合网络在线学习要求。主要技术要求如下：</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1.视频要求</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全课程图像同步性能稳定，色还原正常，无失帧，无抖动跳跃，无色闪。课程制作完成后通过“浙江微课网”上传报送视频采用MP4格式，压缩采用H.264编码方式，码流率256-1024 Kbps，帧率不低于25fps。同时妥善保存未经压缩的视频源文件。</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2.声音要求</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声音清晰无明显失真，无交流声或其他杂音，音量适中，前后一致，无明显起伏，声音与画面同步。</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3.分辨率要求</w:t>
      </w:r>
    </w:p>
    <w:p>
      <w:pPr>
        <w:pStyle w:val="5"/>
        <w:snapToGrid w:val="0"/>
        <w:spacing w:line="560" w:lineRule="exact"/>
        <w:ind w:right="-86"/>
        <w:rPr>
          <w:rFonts w:ascii="仿宋_GB2312" w:hAnsi="仿宋" w:eastAsia="仿宋_GB2312"/>
          <w:color w:val="000000"/>
          <w:sz w:val="32"/>
          <w:szCs w:val="32"/>
        </w:rPr>
      </w:pPr>
      <w:r>
        <w:rPr>
          <w:rFonts w:hint="eastAsia" w:ascii="仿宋_GB2312" w:hAnsi="仿宋" w:eastAsia="仿宋_GB2312"/>
          <w:color w:val="000000"/>
          <w:sz w:val="32"/>
          <w:szCs w:val="32"/>
        </w:rPr>
        <w:t xml:space="preserve">    所有微视频分辨率以不变形、无压缩、清晰可见为基本要求，建议采用16:9模式。</w:t>
      </w:r>
    </w:p>
    <w:p>
      <w:pPr>
        <w:pStyle w:val="5"/>
        <w:snapToGrid w:val="0"/>
        <w:spacing w:line="560" w:lineRule="exact"/>
        <w:ind w:right="-86" w:firstLine="640"/>
        <w:rPr>
          <w:rFonts w:ascii="仿宋_GB2312" w:hAnsi="仿宋" w:eastAsia="仿宋_GB2312"/>
          <w:color w:val="000000"/>
          <w:sz w:val="32"/>
          <w:szCs w:val="32"/>
        </w:rPr>
      </w:pPr>
      <w:r>
        <w:rPr>
          <w:rFonts w:hint="eastAsia" w:ascii="仿宋_GB2312" w:hAnsi="仿宋" w:eastAsia="仿宋_GB2312"/>
          <w:color w:val="000000"/>
          <w:sz w:val="32"/>
          <w:szCs w:val="32"/>
        </w:rPr>
        <w:t>分辨率不低于1280×720（16:9），比特率与视频源相同为4mbps及以上。</w:t>
      </w:r>
    </w:p>
    <w:p>
      <w:pPr>
        <w:pStyle w:val="5"/>
        <w:spacing w:line="56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4.片头片尾要求</w:t>
      </w:r>
    </w:p>
    <w:p>
      <w:r>
        <w:rPr>
          <w:rFonts w:hint="eastAsia" w:ascii="仿宋_GB2312" w:hAnsi="仿宋" w:eastAsia="仿宋_GB2312"/>
          <w:color w:val="000000"/>
          <w:sz w:val="32"/>
          <w:szCs w:val="32"/>
        </w:rPr>
        <w:t>每个微视频前3秒钟只要求出现微课程名称、本微课课题、主讲教师姓名即可。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2B0C"/>
    <w:multiLevelType w:val="multilevel"/>
    <w:tmpl w:val="221B2B0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77D6C99"/>
    <w:multiLevelType w:val="multilevel"/>
    <w:tmpl w:val="377D6C99"/>
    <w:lvl w:ilvl="0" w:tentative="0">
      <w:start w:val="1"/>
      <w:numFmt w:val="japaneseCounting"/>
      <w:lvlText w:val="%1、"/>
      <w:lvlJc w:val="left"/>
      <w:pPr>
        <w:tabs>
          <w:tab w:val="left" w:pos="1520"/>
        </w:tabs>
        <w:ind w:left="1520" w:hanging="720"/>
      </w:pPr>
      <w:rPr>
        <w:rFonts w:hint="default"/>
      </w:rPr>
    </w:lvl>
    <w:lvl w:ilvl="1" w:tentative="0">
      <w:start w:val="1"/>
      <w:numFmt w:val="lowerLetter"/>
      <w:lvlText w:val="%2)"/>
      <w:lvlJc w:val="left"/>
      <w:pPr>
        <w:tabs>
          <w:tab w:val="left" w:pos="1640"/>
        </w:tabs>
        <w:ind w:left="1640" w:hanging="420"/>
      </w:pPr>
    </w:lvl>
    <w:lvl w:ilvl="2" w:tentative="0">
      <w:start w:val="1"/>
      <w:numFmt w:val="lowerRoman"/>
      <w:lvlText w:val="%3."/>
      <w:lvlJc w:val="right"/>
      <w:pPr>
        <w:tabs>
          <w:tab w:val="left" w:pos="2060"/>
        </w:tabs>
        <w:ind w:left="2060" w:hanging="420"/>
      </w:pPr>
    </w:lvl>
    <w:lvl w:ilvl="3" w:tentative="0">
      <w:start w:val="1"/>
      <w:numFmt w:val="decimal"/>
      <w:lvlText w:val="%4."/>
      <w:lvlJc w:val="left"/>
      <w:pPr>
        <w:tabs>
          <w:tab w:val="left" w:pos="2480"/>
        </w:tabs>
        <w:ind w:left="2480" w:hanging="420"/>
      </w:pPr>
    </w:lvl>
    <w:lvl w:ilvl="4" w:tentative="0">
      <w:start w:val="1"/>
      <w:numFmt w:val="lowerLetter"/>
      <w:lvlText w:val="%5)"/>
      <w:lvlJc w:val="left"/>
      <w:pPr>
        <w:tabs>
          <w:tab w:val="left" w:pos="2900"/>
        </w:tabs>
        <w:ind w:left="2900" w:hanging="420"/>
      </w:pPr>
    </w:lvl>
    <w:lvl w:ilvl="5" w:tentative="0">
      <w:start w:val="1"/>
      <w:numFmt w:val="lowerRoman"/>
      <w:lvlText w:val="%6."/>
      <w:lvlJc w:val="right"/>
      <w:pPr>
        <w:tabs>
          <w:tab w:val="left" w:pos="3320"/>
        </w:tabs>
        <w:ind w:left="3320" w:hanging="420"/>
      </w:pPr>
    </w:lvl>
    <w:lvl w:ilvl="6" w:tentative="0">
      <w:start w:val="1"/>
      <w:numFmt w:val="decimal"/>
      <w:lvlText w:val="%7."/>
      <w:lvlJc w:val="left"/>
      <w:pPr>
        <w:tabs>
          <w:tab w:val="left" w:pos="3740"/>
        </w:tabs>
        <w:ind w:left="3740" w:hanging="420"/>
      </w:pPr>
    </w:lvl>
    <w:lvl w:ilvl="7" w:tentative="0">
      <w:start w:val="1"/>
      <w:numFmt w:val="lowerLetter"/>
      <w:lvlText w:val="%8)"/>
      <w:lvlJc w:val="left"/>
      <w:pPr>
        <w:tabs>
          <w:tab w:val="left" w:pos="4160"/>
        </w:tabs>
        <w:ind w:left="4160" w:hanging="420"/>
      </w:pPr>
    </w:lvl>
    <w:lvl w:ilvl="8" w:tentative="0">
      <w:start w:val="1"/>
      <w:numFmt w:val="lowerRoman"/>
      <w:lvlText w:val="%9."/>
      <w:lvlJc w:val="right"/>
      <w:pPr>
        <w:tabs>
          <w:tab w:val="left" w:pos="4580"/>
        </w:tabs>
        <w:ind w:left="4580" w:hanging="420"/>
      </w:pPr>
    </w:lvl>
  </w:abstractNum>
  <w:abstractNum w:abstractNumId="2">
    <w:nsid w:val="52BA5ED6"/>
    <w:multiLevelType w:val="multilevel"/>
    <w:tmpl w:val="52BA5ED6"/>
    <w:lvl w:ilvl="0" w:tentative="0">
      <w:start w:val="1"/>
      <w:numFmt w:val="japaneseCounting"/>
      <w:lvlText w:val="%1、"/>
      <w:lvlJc w:val="left"/>
      <w:pPr>
        <w:ind w:left="450" w:hanging="45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EDDC3B"/>
    <w:multiLevelType w:val="singleLevel"/>
    <w:tmpl w:val="58EDDC3B"/>
    <w:lvl w:ilvl="0" w:tentative="0">
      <w:start w:val="1"/>
      <w:numFmt w:val="chineseCounting"/>
      <w:suff w:val="nothing"/>
      <w:lvlText w:val="（%1）"/>
      <w:lvlJc w:val="left"/>
      <w:pPr>
        <w:ind w:left="0" w:firstLine="420"/>
      </w:pPr>
      <w:rPr>
        <w:rFonts w:hint="eastAsia"/>
      </w:rPr>
    </w:lvl>
  </w:abstractNum>
  <w:abstractNum w:abstractNumId="4">
    <w:nsid w:val="58EDDC64"/>
    <w:multiLevelType w:val="singleLevel"/>
    <w:tmpl w:val="58EDDC64"/>
    <w:lvl w:ilvl="0" w:tentative="0">
      <w:start w:val="1"/>
      <w:numFmt w:val="decimal"/>
      <w:suff w:val="nothing"/>
      <w:lvlText w:val="%1."/>
      <w:lvlJc w:val="left"/>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67049"/>
    <w:rsid w:val="27DF6F3C"/>
    <w:rsid w:val="45E67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rPr>
      <w:kern w:val="0"/>
      <w:sz w:val="20"/>
      <w:szCs w:val="20"/>
      <w:lang w:val="zh-CN"/>
    </w:rPr>
  </w:style>
  <w:style w:type="paragraph" w:customStyle="1" w:styleId="5">
    <w:name w:val="p0"/>
    <w:basedOn w:val="1"/>
    <w:qFormat/>
    <w:uiPriority w:val="0"/>
    <w:pPr>
      <w:widowControl/>
    </w:pPr>
    <w:rPr>
      <w:kern w:val="0"/>
      <w:szCs w:val="21"/>
    </w:rPr>
  </w:style>
  <w:style w:type="paragraph" w:customStyle="1" w:styleId="6">
    <w:name w:val="列出段落1"/>
    <w:basedOn w:val="1"/>
    <w:qFormat/>
    <w:uiPriority w:val="0"/>
    <w:pPr>
      <w:spacing w:line="360" w:lineRule="auto"/>
      <w:ind w:firstLine="420" w:firstLineChars="20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2017-04-28T03:21:00Z</dcterms:created>
  <dc:creator>PCPCPC</dc:creator>
  <cp:lastModifiedBy>PCPCPC</cp:lastModifiedBy>
  <dcterms:modified xsi:type="dcterms:W3CDTF">2017-05-09T00:50:50Z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