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597"/>
      <w:bookmarkStart w:id="3" w:name="_Toc15396475"/>
      <w:bookmarkStart w:id="4" w:name="_Toc15377425"/>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96598"/>
      <w:bookmarkStart w:id="8" w:name="_Toc15396476"/>
      <w:bookmarkStart w:id="9" w:name="_Toc15377426"/>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攀枝花市实验幼儿园</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13</w:t>
      </w:r>
      <w:bookmarkStart w:id="67" w:name="_GoBack"/>
      <w:bookmarkEnd w:id="67"/>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sz w:val="24"/>
        </w:rPr>
        <w:t xml:space="preserve">………………………………………………………… </w:t>
      </w:r>
      <w:r>
        <w:rPr>
          <w:sz w:val="24"/>
        </w:rPr>
        <w:fldChar w:fldCharType="begin"/>
      </w:r>
      <w:r>
        <w:rPr>
          <w:sz w:val="24"/>
        </w:rPr>
        <w:instrText xml:space="preserve"> PAGEREF _Toc82101359 \h </w:instrText>
      </w:r>
      <w:r>
        <w:rPr>
          <w:sz w:val="24"/>
        </w:rPr>
        <w:fldChar w:fldCharType="separate"/>
      </w:r>
      <w:r>
        <w:rPr>
          <w:sz w:val="24"/>
        </w:rPr>
        <w:t>4</w:t>
      </w:r>
      <w:r>
        <w:rPr>
          <w:sz w:val="24"/>
        </w:rPr>
        <w:fldChar w:fldCharType="end"/>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r>
        <w:rPr>
          <w:rFonts w:hint="eastAsia"/>
          <w:sz w:val="24"/>
        </w:rPr>
        <w:t xml:space="preserve">…………………………………………………………… </w:t>
      </w:r>
      <w:r>
        <w:rPr>
          <w:sz w:val="24"/>
        </w:rPr>
        <w:fldChar w:fldCharType="begin"/>
      </w:r>
      <w:r>
        <w:rPr>
          <w:sz w:val="24"/>
        </w:rPr>
        <w:instrText xml:space="preserve"> PAGEREF _Toc82101361 \h </w:instrText>
      </w:r>
      <w:r>
        <w:rPr>
          <w:sz w:val="24"/>
        </w:rPr>
        <w:fldChar w:fldCharType="separate"/>
      </w:r>
      <w:r>
        <w:rPr>
          <w:sz w:val="24"/>
        </w:rPr>
        <w:t>4</w:t>
      </w:r>
      <w:r>
        <w:rPr>
          <w:sz w:val="24"/>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hint="eastAsia"/>
          <w:sz w:val="24"/>
        </w:rPr>
        <w:t xml:space="preserve">………………………………………… </w:t>
      </w:r>
      <w:r>
        <w:rPr>
          <w:sz w:val="24"/>
        </w:rPr>
        <w:fldChar w:fldCharType="begin"/>
      </w:r>
      <w:r>
        <w:rPr>
          <w:sz w:val="24"/>
        </w:rPr>
        <w:instrText xml:space="preserve"> PAGEREF _Toc82101361 \h </w:instrText>
      </w:r>
      <w:r>
        <w:rPr>
          <w:sz w:val="24"/>
        </w:rPr>
        <w:fldChar w:fldCharType="separate"/>
      </w:r>
      <w:r>
        <w:rPr>
          <w:sz w:val="24"/>
        </w:rPr>
        <w:t>4</w:t>
      </w:r>
      <w:r>
        <w:rPr>
          <w:sz w:val="24"/>
        </w:rPr>
        <w:fldChar w:fldCharType="end"/>
      </w:r>
    </w:p>
    <w:p>
      <w:pPr>
        <w:pStyle w:val="10"/>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hint="eastAsia"/>
          <w:sz w:val="24"/>
        </w:rPr>
        <w:t>………………………………………</w:t>
      </w:r>
      <w:r>
        <w:rPr>
          <w:rFonts w:hint="eastAsia"/>
          <w:sz w:val="24"/>
          <w:lang w:val="en-US" w:eastAsia="zh-CN"/>
        </w:rPr>
        <w:t>8</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一、收入支出决算总体情况说明</w:t>
      </w:r>
      <w:r>
        <w:rPr>
          <w:rFonts w:hint="eastAsia"/>
          <w:sz w:val="24"/>
        </w:rPr>
        <w:t xml:space="preserve">……………………………………… </w:t>
      </w:r>
      <w:r>
        <w:rPr>
          <w:rFonts w:hint="eastAsia"/>
          <w:sz w:val="24"/>
          <w:lang w:val="en-US" w:eastAsia="zh-CN"/>
        </w:rPr>
        <w:t>8</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二、收入决算情况说明</w:t>
      </w:r>
      <w:r>
        <w:rPr>
          <w:rFonts w:hint="eastAsia"/>
          <w:sz w:val="24"/>
        </w:rPr>
        <w:t xml:space="preserve">………………………………………………… </w:t>
      </w:r>
      <w:r>
        <w:rPr>
          <w:rFonts w:hint="eastAsia"/>
          <w:sz w:val="24"/>
          <w:lang w:val="en-US" w:eastAsia="zh-CN"/>
        </w:rPr>
        <w:t>8</w:t>
      </w:r>
    </w:p>
    <w:p>
      <w:pPr>
        <w:pStyle w:val="11"/>
        <w:adjustRightInd w:val="0"/>
        <w:snapToGrid w:val="0"/>
        <w:spacing w:line="440" w:lineRule="exact"/>
        <w:jc w:val="left"/>
        <w:rPr>
          <w:rFonts w:hint="eastAsia" w:ascii="仿宋" w:hAnsi="仿宋" w:eastAsia="宋体" w:cstheme="minorBidi"/>
          <w:color w:val="auto"/>
          <w:sz w:val="24"/>
          <w:highlight w:val="none"/>
          <w:lang w:eastAsia="zh-CN"/>
        </w:rPr>
      </w:pPr>
      <w:r>
        <w:rPr>
          <w:rFonts w:hint="eastAsia"/>
          <w:color w:val="auto"/>
          <w:sz w:val="24"/>
          <w:highlight w:val="none"/>
        </w:rPr>
        <w:t>三、支出决算情况说明</w:t>
      </w:r>
      <w:r>
        <w:rPr>
          <w:rFonts w:hint="eastAsia"/>
          <w:sz w:val="24"/>
        </w:rPr>
        <w:t xml:space="preserve">………………………………………………… </w:t>
      </w:r>
      <w:r>
        <w:rPr>
          <w:rFonts w:hint="eastAsia"/>
          <w:sz w:val="24"/>
          <w:lang w:val="en-US" w:eastAsia="zh-CN"/>
        </w:rPr>
        <w:t>9</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r>
        <w:rPr>
          <w:rFonts w:hint="eastAsia"/>
          <w:sz w:val="24"/>
        </w:rPr>
        <w:t xml:space="preserve">…………………………… </w:t>
      </w:r>
      <w:r>
        <w:rPr>
          <w:rFonts w:hint="eastAsia"/>
          <w:sz w:val="24"/>
          <w:lang w:val="en-US" w:eastAsia="zh-CN"/>
        </w:rPr>
        <w:t>9</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sz w:val="24"/>
        </w:rPr>
        <w:t xml:space="preserve">……………………… </w:t>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sz w:val="24"/>
        </w:rPr>
        <w:t xml:space="preserve">………………… </w:t>
      </w:r>
      <w:r>
        <w:rPr>
          <w:rFonts w:hint="eastAsia"/>
          <w:sz w:val="24"/>
          <w:lang w:val="en-US" w:eastAsia="zh-CN"/>
        </w:rPr>
        <w:t>12</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sz w:val="24"/>
        </w:rPr>
        <w:t xml:space="preserve">……………………… </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sz w:val="24"/>
        </w:rPr>
        <w:t xml:space="preserve">……………………………… </w:t>
      </w:r>
      <w:r>
        <w:rPr>
          <w:rFonts w:hint="eastAsia"/>
          <w:sz w:val="24"/>
          <w:lang w:val="en-US" w:eastAsia="zh-CN"/>
        </w:rPr>
        <w:t>15</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九、国有资本经营预算支出决算情况说明</w:t>
      </w:r>
      <w:r>
        <w:rPr>
          <w:rFonts w:hint="eastAsia"/>
          <w:sz w:val="24"/>
        </w:rPr>
        <w:t xml:space="preserve">…………………………… </w:t>
      </w:r>
      <w:r>
        <w:rPr>
          <w:rFonts w:hint="eastAsia"/>
          <w:sz w:val="24"/>
          <w:lang w:val="en-US" w:eastAsia="zh-CN"/>
        </w:rPr>
        <w:t>15</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r>
        <w:rPr>
          <w:rFonts w:hint="eastAsia"/>
          <w:sz w:val="24"/>
        </w:rPr>
        <w:t xml:space="preserve">………………………………………… </w:t>
      </w:r>
      <w:r>
        <w:rPr>
          <w:rFonts w:hint="eastAsia"/>
          <w:sz w:val="24"/>
          <w:lang w:val="en-US" w:eastAsia="zh-CN"/>
        </w:rPr>
        <w:t>15</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sz w:val="24"/>
        </w:rPr>
        <w:t xml:space="preserve">………………………………………………………… </w:t>
      </w:r>
      <w:r>
        <w:rPr>
          <w:rFonts w:hint="eastAsia"/>
          <w:sz w:val="24"/>
          <w:lang w:val="en-US" w:eastAsia="zh-CN"/>
        </w:rPr>
        <w:t>17</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sz w:val="24"/>
        </w:rPr>
        <w:t xml:space="preserve">……………………………………………………………… </w:t>
      </w:r>
      <w:r>
        <w:rPr>
          <w:rFonts w:hint="eastAsia"/>
          <w:sz w:val="24"/>
          <w:lang w:val="en-US" w:eastAsia="zh-CN"/>
        </w:rPr>
        <w:t>19</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sz w:val="24"/>
        </w:rPr>
        <w:t xml:space="preserve">……………………………………………………………… </w:t>
      </w:r>
      <w:r>
        <w:rPr>
          <w:rFonts w:hint="eastAsia"/>
          <w:sz w:val="24"/>
          <w:lang w:val="en-US" w:eastAsia="zh-CN"/>
        </w:rPr>
        <w:t>21</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Fonts w:hint="eastAsia"/>
        </w:rPr>
      </w:pPr>
      <w:bookmarkStart w:id="14" w:name="_Toc15377197"/>
      <w:bookmarkStart w:id="15" w:name="_Toc15396600"/>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p>
    <w:p>
      <w:pPr>
        <w:pStyle w:val="4"/>
        <w:keepNext/>
        <w:keepLines/>
        <w:pageBreakBefore w:val="0"/>
        <w:widowControl w:val="0"/>
        <w:numPr>
          <w:ilvl w:val="0"/>
          <w:numId w:val="0"/>
        </w:numPr>
        <w:kinsoku/>
        <w:wordWrap/>
        <w:overflowPunct/>
        <w:topLinePunct w:val="0"/>
        <w:autoSpaceDE/>
        <w:autoSpaceDN/>
        <w:bidi w:val="0"/>
        <w:adjustRightInd/>
        <w:snapToGrid/>
        <w:spacing w:line="416" w:lineRule="auto"/>
        <w:ind w:firstLine="640" w:firstLineChars="200"/>
        <w:textAlignment w:val="auto"/>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2021年，在市委市政府、市教育和体育局的大力支持和关心帮助下，科技城园区正式开园，由“一园两址”变为“一园三址”，立足改革和品质发展，秉承“玩美教育”的办园理念，以“培养阳光、勇敢、智慧、创新的儿童”为教育目标，以独具本土特色的“玩美”课程为教学基线，在全省、乃至全国都具有较大的影响力，走上了文化、保教、科研、课程、管理等全方位高质量发展的道路。在过去一年中，我园全体教职员工紧密团结，不忘教育初心、牢记育人使命，夯基础、抓亮点、显特色、建课程、创品牌，在推进幼儿园高质量发展的路上务实前行。</w:t>
      </w:r>
    </w:p>
    <w:p>
      <w:pPr>
        <w:pStyle w:val="4"/>
        <w:numPr>
          <w:ilvl w:val="0"/>
          <w:numId w:val="0"/>
        </w:numPr>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color w:val="00000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1.抓牢党建开新局，引领党建工作高质量发展</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color w:val="00000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以党史学习教育为契机，丰富党员教育活动形式。自党史学习教育启动以来，市实验幼儿园党总支始终坚持正确导向，坚持“规定动作做到位，自选动作有特色”，努力在“学”与“行”方面下功夫，引导广大党员学有所思、学有所悟、学有所获，确保学习取得实效。成功承办市教育和体育局直属系统战工作现场会，推动各直属单位（学校）统战工作进一步提档升级。</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color w:val="00000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2.以建党100周年为主题，开展“童心向党”系列活动。时值建党100周年的关键时期，市实验幼儿园根据幼儿的年龄特点，注重幼儿的身心发育特点及基本认知规律，以幼儿喜闻乐见的方式方法，通过国旗下讲话、歌舞秀、走访参观、作品展示等形式，提供幼儿主动参与、积极展示的舞台，注重活动的仪式感、参与感、现代感，引导幼儿从小学党史、听党话、感党情、颂党恩、跟党走，厚植爱党爱国爱社会主义情怀。在全国学前教育宣传月之际，市实验幼儿园举办了“童心向党致敬，阅读筑梦百年”六一节庆祝活动。</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color w:val="00000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3.以特色课题研究为背景，全面加强园本课程开发。</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color w:val="00000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本学年，我园的教学工作围绕课题目标来开展，作为四川省幼儿体育基地，在不断发展中逐渐形成了体育特色活动，在市级课题《基于幼儿体质发展的体智能循环活动设计与实践研究》的研究背景下，体智能活动取得了显著成绩。本学年我园承办了攀枝花市教育科学研究所主办的全市“幼儿园户外体育观摩研讨活动”，活动中我园体操、篮球、早操、体智能大创游活动等特色体育项目进行了展示，分享了近年来我园体育教育的经验，获得好评。本年度，幼儿园参加2021年四川省幼儿快乐体操嘉年华比赛获全省第一名；参加四川省篮球展示大会“十人接力游戏”一等奖，“三对三团队篮球游戏”二等奖；篮球操二等奖的好成绩。</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color w:val="00000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4.以“云教主播”学校为平台，促进教育联盟品质发展。</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color w:val="00000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2020年7月，四川省教育厅发布了《四川省教育厅关于公布“四川云教”直播课堂主播学校名单与双向互选联盟成员学校的通知》，我园成功入选，成为全省5所“四川云教”直播课堂幼儿园主播学校之一，迄今为止，联盟幼儿园发展至36所。今年8月28日开展了“四川云教”攀枝花市实验幼儿园云教联盟学术研讨会，来自成都、广安、凉山州和攀枝花的36所联盟幼儿园园长、骨干教师、电教教师共600余人参加了此次线上线下学术研讨会，市教育和体育局田龙副局长及相关领导代表四川省教育厅、四川省电化教育馆为到场的28所“四川云教”攀枝花市实验幼儿园云教联盟幼儿园成员进行了授牌。</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color w:val="00000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5.以对外合作交流为载体，推动幼儿园影响力实现提升。</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color w:val="00000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走出去的同时也重视请进来，2020年11月“攀枝花市幼儿园游戏质量提升学术研讨会”在我园举行，四川省学前兼职教研员、成都市金牛区机关第三幼儿园教育集团党支部书记、总园长高翔莅临我园现场指导游戏活动开展；12月江苏省常州市教育代表团一行7人到我园进行了访问交流，就幼儿园的办园理念、办园条件、队伍建设、环境创设、课程建设等方面与代表团进行了交流。本学年刁玲园长应邀参加全国新时代高品质学校建设线上线下学术研讨会并发言；刁玲园长以《智慧家园 品质成长》为题参加了攀枝花市总工会组织的女劳模线上宣讲活动，在线观看人数达5.26万人次；教学园长胡荔参加攀枝花市“名师大讲堂”活动以《自主游戏不简单 支持游戏有方法》为题，分享了游戏中教师的引导与支持策略。</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color w:val="00000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6.一园三址共发展，承载使命提品质。</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640" w:firstLineChars="200"/>
        <w:jc w:val="both"/>
        <w:textAlignment w:val="baseline"/>
        <w:rPr>
          <w:rStyle w:val="30"/>
          <w:rFonts w:hint="eastAsia" w:ascii="仿宋_GB2312" w:hAnsi="仿宋_GB2312" w:eastAsia="仿宋_GB2312" w:cs="仿宋_GB2312"/>
          <w:b w:val="0"/>
          <w:bCs w:val="0"/>
          <w:kern w:val="2"/>
          <w:sz w:val="32"/>
          <w:szCs w:val="32"/>
          <w:lang w:val="en-US" w:eastAsia="zh-CN" w:bidi="ar-SA"/>
        </w:rPr>
      </w:pPr>
      <w:r>
        <w:rPr>
          <w:rStyle w:val="30"/>
          <w:rFonts w:hint="eastAsia" w:ascii="仿宋_GB2312" w:hAnsi="仿宋_GB2312" w:eastAsia="仿宋_GB2312" w:cs="仿宋_GB2312"/>
          <w:b w:val="0"/>
          <w:bCs/>
          <w:color w:val="000000"/>
          <w:kern w:val="2"/>
          <w:sz w:val="32"/>
          <w:szCs w:val="32"/>
          <w:lang w:val="en-US" w:eastAsia="zh-CN" w:bidi="ar-SA"/>
        </w:rPr>
        <w:t>2020年12月，市委、市政府决定，将“恒邦双林·悦山府”项目配建幼儿园交由市教育和体育局管理，并由市实验幼儿园领办。并于2021年4月27日，移交仪式隆重举行。市实验幼儿园攀西科技城园区的顺利建成和交接，是落实习近平总书记“五大发展理念”的具体体现，是响应市委、市政府加快“两城”建设和“三个圈层”联动发展的具体成果，是提升城市品质吸引年轻人到攀枝花、到攀西科技城学习、工作、生活的重要手段。市实验幼儿园攀西科技城园区规划建设起点高、标准高，要求高，紧跟时代前进的步伐，确立了“唯实、唯新、唯幼儿、唯发展、唯社会”的意识，由“一园两址址”到“一园三址”，分址的环境、制度、流程、标准、课程构建、教研等都由总园输出，管理由规范阶段向发展阶段迈进，形成了“一园三址”共同发展的新局面。</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val="en-US" w:eastAsia="zh-CN"/>
        </w:rPr>
        <w:t>收入总计2309.65万元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2309.65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入增加557.94万元，增长31.85%，</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597.94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34.93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是：1.2021年</w:t>
      </w:r>
      <w:r>
        <w:rPr>
          <w:rStyle w:val="30"/>
          <w:rFonts w:hint="eastAsia" w:ascii="仿宋_GB2312" w:hAnsi="仿宋_GB2312" w:eastAsia="仿宋_GB2312" w:cs="仿宋_GB2312"/>
          <w:color w:val="auto"/>
          <w:kern w:val="2"/>
          <w:sz w:val="32"/>
          <w:szCs w:val="32"/>
          <w:highlight w:val="none"/>
          <w:lang w:val="en-US" w:eastAsia="zh-CN" w:bidi="ar-SA"/>
        </w:rPr>
        <w:t>9月科技城园区正式开园，由“一园两址”变为“一园三址”，在园幼儿及在职职工增加，由此人员及公用经费增加。2.</w:t>
      </w:r>
      <w:r>
        <w:rPr>
          <w:rFonts w:hint="eastAsia" w:ascii="仿宋_GB2312" w:hAnsi="仿宋_GB2312" w:eastAsia="仿宋_GB2312" w:cs="仿宋_GB2312"/>
          <w:color w:val="auto"/>
          <w:sz w:val="32"/>
          <w:szCs w:val="32"/>
          <w:highlight w:val="none"/>
          <w:lang w:val="en-US" w:eastAsia="zh-CN"/>
        </w:rPr>
        <w:t>科技城园区9月正式开园，装修改造工程增多，中央奖补资金增加。</w:t>
      </w:r>
    </w:p>
    <w:p>
      <w:pPr>
        <w:pStyle w:val="2"/>
      </w:pPr>
      <w:r>
        <w:drawing>
          <wp:inline distT="0" distB="0" distL="114300" distR="114300">
            <wp:extent cx="5271135" cy="2701925"/>
            <wp:effectExtent l="4445" t="4445" r="20320" b="177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2269.65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2269.65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2309.65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1680.98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72.78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628.66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pPr>
      <w:r>
        <w:drawing>
          <wp:inline distT="0" distB="0" distL="114300" distR="114300">
            <wp:extent cx="4572000" cy="2804160"/>
            <wp:effectExtent l="4445" t="4445" r="1460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b/>
          <w:color w:val="auto"/>
          <w:sz w:val="32"/>
          <w:szCs w:val="32"/>
          <w:highlight w:val="none"/>
        </w:rPr>
      </w:pPr>
      <w:r>
        <w:rPr>
          <w:rFonts w:hint="eastAsia" w:ascii="仿宋" w:hAnsi="仿宋" w:eastAsia="仿宋" w:cs="Times New Roman"/>
          <w:color w:val="auto"/>
          <w:kern w:val="2"/>
          <w:sz w:val="32"/>
          <w:szCs w:val="32"/>
          <w:highlight w:val="none"/>
          <w:lang w:val="en-US" w:eastAsia="zh-CN" w:bidi="ar-SA"/>
        </w:rPr>
        <w:t>2021年财政拨款收入2309.65万元、支出总计2309.65万元。与2020年相比，财政拨</w:t>
      </w:r>
      <w:r>
        <w:rPr>
          <w:rFonts w:hint="eastAsia" w:ascii="仿宋" w:hAnsi="仿宋" w:eastAsia="仿宋"/>
          <w:color w:val="auto"/>
          <w:sz w:val="32"/>
          <w:szCs w:val="32"/>
          <w:highlight w:val="none"/>
        </w:rPr>
        <w:t>款收</w:t>
      </w:r>
      <w:r>
        <w:rPr>
          <w:rFonts w:hint="eastAsia" w:ascii="仿宋" w:hAnsi="仿宋" w:eastAsia="仿宋"/>
          <w:color w:val="auto"/>
          <w:sz w:val="32"/>
          <w:szCs w:val="32"/>
          <w:highlight w:val="none"/>
          <w:lang w:val="en-US" w:eastAsia="zh-CN"/>
        </w:rPr>
        <w:t>入增加521.09万，增长22.96%，</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601.09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35.18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是：1.2021年</w:t>
      </w:r>
      <w:r>
        <w:rPr>
          <w:rStyle w:val="30"/>
          <w:rFonts w:hint="eastAsia" w:ascii="仿宋_GB2312" w:hAnsi="仿宋_GB2312" w:eastAsia="仿宋_GB2312" w:cs="仿宋_GB2312"/>
          <w:color w:val="auto"/>
          <w:kern w:val="2"/>
          <w:sz w:val="32"/>
          <w:szCs w:val="32"/>
          <w:highlight w:val="none"/>
          <w:lang w:val="en-US" w:eastAsia="zh-CN" w:bidi="ar-SA"/>
        </w:rPr>
        <w:t>9月科技城园区正式开园，由“一园两址”变为“一园三址”，在园幼儿及在职职工增加，由此人员及公用经费增加。2.</w:t>
      </w:r>
      <w:r>
        <w:rPr>
          <w:rFonts w:hint="eastAsia" w:ascii="仿宋_GB2312" w:hAnsi="仿宋_GB2312" w:eastAsia="仿宋_GB2312" w:cs="仿宋_GB2312"/>
          <w:color w:val="auto"/>
          <w:sz w:val="32"/>
          <w:szCs w:val="32"/>
          <w:highlight w:val="none"/>
          <w:lang w:val="en-US" w:eastAsia="zh-CN"/>
        </w:rPr>
        <w:t>科技城园区9月正式开园，装修改造工程增多，中央奖补资金增加。</w:t>
      </w:r>
    </w:p>
    <w:p>
      <w:pPr>
        <w:pStyle w:val="2"/>
        <w:rPr>
          <w:rFonts w:ascii="仿宋" w:hAnsi="仿宋" w:eastAsia="仿宋"/>
          <w:color w:val="auto"/>
          <w:sz w:val="32"/>
          <w:szCs w:val="32"/>
          <w:highlight w:val="none"/>
        </w:rPr>
      </w:pPr>
      <w:r>
        <w:drawing>
          <wp:inline distT="0" distB="0" distL="114300" distR="114300">
            <wp:extent cx="4572000" cy="2743200"/>
            <wp:effectExtent l="4445" t="4445" r="14605"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2309.65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601.09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35.18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是：1.2021年</w:t>
      </w:r>
      <w:r>
        <w:rPr>
          <w:rStyle w:val="30"/>
          <w:rFonts w:hint="eastAsia" w:ascii="仿宋_GB2312" w:hAnsi="仿宋_GB2312" w:eastAsia="仿宋_GB2312" w:cs="仿宋_GB2312"/>
          <w:color w:val="auto"/>
          <w:kern w:val="2"/>
          <w:sz w:val="32"/>
          <w:szCs w:val="32"/>
          <w:highlight w:val="none"/>
          <w:lang w:val="en-US" w:eastAsia="zh-CN" w:bidi="ar-SA"/>
        </w:rPr>
        <w:t>9月科技城园区正式开园，由“一园两址”变为“一园三址”，在园幼儿及在职职工增加，由此人员及公用经费增加。2.</w:t>
      </w:r>
      <w:r>
        <w:rPr>
          <w:rFonts w:hint="eastAsia" w:ascii="仿宋_GB2312" w:hAnsi="仿宋_GB2312" w:eastAsia="仿宋_GB2312" w:cs="仿宋_GB2312"/>
          <w:color w:val="auto"/>
          <w:sz w:val="32"/>
          <w:szCs w:val="32"/>
          <w:highlight w:val="none"/>
          <w:lang w:val="en-US" w:eastAsia="zh-CN"/>
        </w:rPr>
        <w:t>科技城园区9月正式开园，装修改造工程增多，中央奖补资金增加。</w:t>
      </w:r>
    </w:p>
    <w:p>
      <w:pPr>
        <w:spacing w:line="600" w:lineRule="exact"/>
        <w:ind w:firstLine="640" w:firstLineChars="200"/>
        <w:rPr>
          <w:rFonts w:hint="eastAsia" w:ascii="仿宋" w:hAnsi="仿宋" w:eastAsia="仿宋"/>
          <w:color w:val="auto"/>
          <w:sz w:val="32"/>
          <w:szCs w:val="32"/>
          <w:highlight w:val="yellow"/>
        </w:rPr>
      </w:pPr>
    </w:p>
    <w:p>
      <w:pPr>
        <w:pStyle w:val="2"/>
      </w:pPr>
      <w:r>
        <w:drawing>
          <wp:inline distT="0" distB="0" distL="114300" distR="114300">
            <wp:extent cx="4572000" cy="2753360"/>
            <wp:effectExtent l="4445" t="4445" r="14605" b="2349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2309.65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b/>
          <w:color w:val="auto"/>
          <w:sz w:val="32"/>
          <w:szCs w:val="32"/>
          <w:highlight w:val="none"/>
          <w:lang w:val="en-US" w:eastAsia="zh-CN"/>
        </w:rPr>
        <w:t>2104.10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91.10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103.11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4.46</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102.44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ascii="仿宋" w:hAnsi="仿宋" w:eastAsia="仿宋"/>
          <w:color w:val="auto"/>
          <w:sz w:val="32"/>
          <w:szCs w:val="32"/>
          <w:highlight w:val="none"/>
        </w:rPr>
      </w:pPr>
      <w:r>
        <w:drawing>
          <wp:inline distT="0" distB="0" distL="114300" distR="114300">
            <wp:extent cx="4572635" cy="2743200"/>
            <wp:effectExtent l="4445" t="4445" r="13970" b="14605"/>
            <wp:docPr id="307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2309.65万元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教育（类）</w:t>
      </w:r>
      <w:r>
        <w:rPr>
          <w:rStyle w:val="14"/>
          <w:rFonts w:hint="eastAsia" w:ascii="仿宋" w:hAnsi="仿宋" w:eastAsia="仿宋"/>
          <w:bCs/>
          <w:color w:val="auto"/>
          <w:sz w:val="32"/>
          <w:szCs w:val="32"/>
          <w:highlight w:val="none"/>
          <w:lang w:val="en-US" w:eastAsia="zh-CN"/>
        </w:rPr>
        <w:t>普通教育</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学前教育</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2022.63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教育支出</w:t>
      </w:r>
      <w:r>
        <w:rPr>
          <w:rStyle w:val="14"/>
          <w:rFonts w:hint="eastAsia" w:ascii="仿宋" w:hAnsi="仿宋" w:eastAsia="仿宋"/>
          <w:bCs/>
          <w:color w:val="auto"/>
          <w:sz w:val="32"/>
          <w:szCs w:val="32"/>
          <w:highlight w:val="none"/>
        </w:rPr>
        <w:t>（类）教育费附加安排的支出（款）其他教育费附加安排的支出（项）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81.47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社会保障和就业（类）人力资源和社会保障管理事务（款）  其他人力资源和社会保障管理事务支出（项）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社会保障和就业（类）人力资源和社会保障管理事务（款）机关事业单位基本养老保险缴费支出（项）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98.31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住房保障支出</w:t>
      </w:r>
      <w:r>
        <w:rPr>
          <w:rStyle w:val="14"/>
          <w:rFonts w:hint="eastAsia" w:ascii="仿宋" w:hAnsi="仿宋" w:eastAsia="仿宋"/>
          <w:bCs/>
          <w:color w:val="auto"/>
          <w:sz w:val="32"/>
          <w:szCs w:val="32"/>
          <w:highlight w:val="none"/>
        </w:rPr>
        <w:t>（类）住房改革支出（款）住房公积金（项）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102.44</w:t>
      </w:r>
      <w:r>
        <w:rPr>
          <w:rStyle w:val="14"/>
          <w:rFonts w:hint="eastAsia" w:ascii="仿宋" w:hAnsi="仿宋" w:eastAsia="仿宋"/>
          <w:b w:val="0"/>
          <w:bCs/>
          <w:color w:val="auto"/>
          <w:sz w:val="32"/>
          <w:szCs w:val="32"/>
          <w:highlight w:val="none"/>
        </w:rPr>
        <w:t>万元</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tabs>
          <w:tab w:val="right" w:pos="8306"/>
        </w:tabs>
        <w:spacing w:line="600" w:lineRule="exact"/>
        <w:ind w:firstLine="640" w:firstLineChars="200"/>
        <w:outlineLvl w:val="1"/>
        <w:rPr>
          <w:rStyle w:val="25"/>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1680.98</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1351.81</w:t>
      </w:r>
      <w:r>
        <w:rPr>
          <w:rFonts w:hint="eastAsia" w:ascii="仿宋" w:hAnsi="仿宋" w:eastAsia="仿宋"/>
          <w:color w:val="auto"/>
          <w:sz w:val="32"/>
          <w:szCs w:val="32"/>
          <w:highlight w:val="none"/>
        </w:rPr>
        <w:t>万元，主要包括：基本工资、津贴补贴、绩效工资、机关事业单位基本养老保险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329.18</w:t>
      </w:r>
      <w:r>
        <w:rPr>
          <w:rFonts w:hint="eastAsia" w:ascii="仿宋" w:hAnsi="仿宋" w:eastAsia="仿宋"/>
          <w:color w:val="auto"/>
          <w:sz w:val="32"/>
          <w:szCs w:val="32"/>
          <w:highlight w:val="none"/>
        </w:rPr>
        <w:t>万元，主要包括：办公费、印刷费、水费、电费、邮电费、物业管理费、差旅费、维修（护）费、租赁费、培训费、公务接待费、劳务费、委托业务费、工会经费、福利费、公务用车运行维护费、其他商品和服务支出、办公设备购置、专用设备购置、</w:t>
      </w:r>
      <w:r>
        <w:rPr>
          <w:rFonts w:hint="eastAsia" w:ascii="仿宋" w:hAnsi="仿宋" w:eastAsia="仿宋"/>
          <w:color w:val="auto"/>
          <w:sz w:val="32"/>
          <w:szCs w:val="32"/>
          <w:highlight w:val="none"/>
          <w:lang w:val="en-US" w:eastAsia="zh-CN"/>
        </w:rPr>
        <w:t>无形资产购置</w:t>
      </w:r>
      <w:r>
        <w:rPr>
          <w:rFonts w:hint="eastAsia" w:ascii="仿宋" w:hAnsi="仿宋" w:eastAsia="仿宋"/>
          <w:color w:val="auto"/>
          <w:sz w:val="32"/>
          <w:szCs w:val="32"/>
          <w:highlight w:val="none"/>
        </w:rPr>
        <w:t>、其他资本性支出等。</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1.62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76.42</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w:t>
      </w:r>
      <w:r>
        <w:rPr>
          <w:rFonts w:hint="eastAsia" w:ascii="仿宋" w:hAnsi="仿宋" w:eastAsia="仿宋"/>
          <w:color w:val="auto"/>
          <w:sz w:val="32"/>
          <w:szCs w:val="32"/>
          <w:highlight w:val="none"/>
          <w:lang w:val="en-US" w:eastAsia="zh-CN"/>
        </w:rPr>
        <w:t>原因是公务接待费年初预算0.5万元，本年未安排公务接待</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1.62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pPr>
      <w:r>
        <w:drawing>
          <wp:inline distT="0" distB="0" distL="114300" distR="114300">
            <wp:extent cx="4572000" cy="2745740"/>
            <wp:effectExtent l="4445" t="4445" r="14605" b="1206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持平，2021年和2020年都未安排因公出国经费</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1.62</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1.62</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仿宋_GB2312" w:eastAsia="仿宋_GB2312" w:cs="仿宋_GB2312"/>
          <w:color w:val="auto"/>
          <w:sz w:val="32"/>
          <w:szCs w:val="32"/>
          <w:highlight w:val="none"/>
          <w:lang w:val="en-US" w:eastAsia="zh-CN"/>
        </w:rPr>
        <w:t>因为车辆年限长，维修维护费增加，今后加大车辆管理，节约运行成本的同时保证运行安全</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1.62</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幼儿日常外出参加活动，三园区之间货物运输</w:t>
      </w:r>
      <w:r>
        <w:rPr>
          <w:rFonts w:hint="eastAsia" w:ascii="仿宋_GB2312" w:eastAsia="仿宋_GB2312"/>
          <w:color w:val="auto"/>
          <w:sz w:val="32"/>
          <w:szCs w:val="32"/>
          <w:highlight w:val="none"/>
        </w:rPr>
        <w:t>等所需的公务用车燃料费、维修费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firstLineChars="200"/>
        <w:outlineLvl w:val="1"/>
        <w:rPr>
          <w:rStyle w:val="25"/>
          <w:rFonts w:ascii="黑体" w:hAnsi="黑体" w:eastAsia="黑体"/>
          <w:color w:val="auto"/>
          <w:highlight w:val="none"/>
        </w:rPr>
      </w:pPr>
      <w:bookmarkStart w:id="40" w:name="_Toc15396610"/>
      <w:bookmarkStart w:id="41" w:name="_Toc15377218"/>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20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lang w:val="en-US" w:eastAsia="zh-CN"/>
        </w:rPr>
        <w:t>十、</w:t>
      </w:r>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我园</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年决算数持平。主要原因是</w:t>
      </w:r>
      <w:r>
        <w:rPr>
          <w:rFonts w:hint="eastAsia" w:ascii="仿宋_GB2312" w:eastAsia="仿宋_GB2312"/>
          <w:color w:val="auto"/>
          <w:sz w:val="32"/>
          <w:szCs w:val="32"/>
          <w:highlight w:val="none"/>
          <w:lang w:val="en-US" w:eastAsia="zh-CN"/>
        </w:rPr>
        <w:t>幼儿园为事业单位，按规定未使用机关运行的相关科目。</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幼儿园</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493.29</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24.76</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468.53</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科技城园区教室装修、食堂建设，信息化工程建设</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493.29</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493.2</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我园</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教育收费安排支出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1个项目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spacing w:line="60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2.</w:t>
      </w:r>
      <w:r>
        <w:rPr>
          <w:rFonts w:hint="eastAsia" w:ascii="仿宋_GB2312" w:hAnsi="Calibri" w:eastAsia="仿宋_GB2312" w:cs="仿宋"/>
          <w:color w:val="auto"/>
          <w:kern w:val="0"/>
          <w:sz w:val="32"/>
          <w:szCs w:val="32"/>
          <w:highlight w:val="none"/>
          <w:lang w:val="en-US" w:eastAsia="zh-CN" w:bidi="ar-SA"/>
        </w:rPr>
        <w:t>教育支出（类）普通教育（款）学前教育支出(项）：反映各部分举办的学前教育支出。政府各部门对社会组织等举办的幼儿园资助，如捐赠、补贴等，也在本科目中反映。</w:t>
      </w:r>
    </w:p>
    <w:p>
      <w:pPr>
        <w:spacing w:line="60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3.社会保障和就业支出（类）行政事业单位养老支出（款）机关事业单位基本养老保险缴费支出（项）：反映机关事业单位实施养老保险制度由单位实际缴纳的基本养老保险费支出。</w:t>
      </w:r>
    </w:p>
    <w:p>
      <w:pPr>
        <w:spacing w:line="600" w:lineRule="exact"/>
        <w:ind w:firstLine="640" w:firstLineChars="200"/>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4.住房保障支出（类）住房改革支出（款）住房公积金（项）：反映行政事业单位按人力资源和社会保障部、财政部规定的基本工资和津贴补贴以及规定比例未职工缴纳的住房公积金。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攀枝花教育体育局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攀枝花花市实验幼儿园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507.19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507.19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学前教育持续健康发展，促进学期教育加快发展，</w:t>
            </w:r>
            <w:r>
              <w:rPr>
                <w:rFonts w:hint="eastAsia" w:ascii="宋体" w:hAnsi="宋体" w:cs="宋体"/>
                <w:i w:val="0"/>
                <w:color w:val="auto"/>
                <w:sz w:val="24"/>
                <w:szCs w:val="24"/>
                <w:u w:val="none"/>
                <w:lang w:val="en-US" w:eastAsia="zh-CN"/>
              </w:rPr>
              <w:t>扩大学位数，</w:t>
            </w:r>
            <w:r>
              <w:rPr>
                <w:rFonts w:hint="eastAsia" w:ascii="宋体" w:hAnsi="宋体" w:eastAsia="宋体" w:cs="宋体"/>
                <w:i w:val="0"/>
                <w:color w:val="auto"/>
                <w:sz w:val="24"/>
                <w:szCs w:val="24"/>
                <w:u w:val="none"/>
              </w:rPr>
              <w:t>用于改善办园条件，改进办园环境。</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达到了</w:t>
            </w:r>
            <w:r>
              <w:rPr>
                <w:rFonts w:hint="eastAsia" w:ascii="宋体" w:hAnsi="宋体" w:eastAsia="宋体" w:cs="宋体"/>
                <w:i w:val="0"/>
                <w:color w:val="auto"/>
                <w:sz w:val="24"/>
                <w:szCs w:val="24"/>
                <w:u w:val="none"/>
              </w:rPr>
              <w:t>学前教育持续健康发展，促进学期教育加快发展，</w:t>
            </w:r>
            <w:r>
              <w:rPr>
                <w:rFonts w:hint="eastAsia" w:ascii="宋体" w:hAnsi="宋体" w:cs="宋体"/>
                <w:i w:val="0"/>
                <w:color w:val="auto"/>
                <w:sz w:val="24"/>
                <w:szCs w:val="24"/>
                <w:u w:val="none"/>
                <w:lang w:val="en-US" w:eastAsia="zh-CN"/>
              </w:rPr>
              <w:t>扩大学位数，</w:t>
            </w:r>
            <w:r>
              <w:rPr>
                <w:rFonts w:hint="eastAsia" w:ascii="宋体" w:hAnsi="宋体" w:eastAsia="宋体" w:cs="宋体"/>
                <w:i w:val="0"/>
                <w:color w:val="auto"/>
                <w:sz w:val="24"/>
                <w:szCs w:val="24"/>
                <w:u w:val="none"/>
              </w:rPr>
              <w:t>用于改善办园条件，改进办园环境</w:t>
            </w:r>
            <w:r>
              <w:rPr>
                <w:rFonts w:hint="eastAsia" w:ascii="宋体" w:hAnsi="宋体" w:cs="宋体"/>
                <w:i w:val="0"/>
                <w:color w:val="auto"/>
                <w:sz w:val="24"/>
                <w:szCs w:val="24"/>
                <w:u w:val="none"/>
                <w:lang w:val="en-US" w:eastAsia="zh-CN"/>
              </w:rPr>
              <w:t>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新增学位数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质量发展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学前教育持续健康发展，促进学期教育加快发展。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学前教育持续健康发展，促进学期教育加快发展。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 xml:space="preserve"> 资金支付及时性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按序时进度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支付完成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 xml:space="preserve"> 成本控制率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rPr>
              <w:t xml:space="preserve"> </w:t>
            </w:r>
            <w:r>
              <w:rPr>
                <w:rFonts w:hint="eastAsia" w:ascii="仿宋_GB2312" w:hAnsi="仿宋_GB2312" w:eastAsia="仿宋_GB2312" w:cs="仿宋_GB2312"/>
                <w:i w:val="0"/>
                <w:color w:val="auto"/>
                <w:sz w:val="28"/>
                <w:szCs w:val="28"/>
                <w:u w:val="none"/>
                <w:lang w:val="en-US"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让社会适龄幼儿尽可能的享受优质学前教育服务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让社会适龄幼儿尽可能的享受优质学前教育服务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在园幼儿享受了优质服务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积极引导地方扩大普惠性学前教育资源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积极引导地方扩大普惠性学前教育资源</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扩大了普惠性学前教育资源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家长满意度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default" w:ascii="Arial" w:hAnsi="Arial" w:eastAsia="仿宋_GB2312" w:cs="Arial"/>
                <w:i w:val="0"/>
                <w:color w:val="auto"/>
                <w:sz w:val="28"/>
                <w:szCs w:val="28"/>
                <w:u w:val="none"/>
                <w:lang w:val="en-US" w:eastAsia="zh-CN"/>
              </w:rPr>
              <w:t>≥</w:t>
            </w:r>
            <w:r>
              <w:rPr>
                <w:rFonts w:hint="eastAsia" w:ascii="仿宋_GB2312" w:hAnsi="仿宋_GB2312" w:eastAsia="仿宋_GB2312" w:cs="仿宋_GB2312"/>
                <w:i w:val="0"/>
                <w:color w:val="auto"/>
                <w:sz w:val="28"/>
                <w:szCs w:val="28"/>
                <w:u w:val="none"/>
                <w:lang w:val="en-US" w:eastAsia="zh-CN"/>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达到90%</w:t>
            </w:r>
          </w:p>
        </w:tc>
      </w:tr>
    </w:tbl>
    <w:p>
      <w:pPr>
        <w:pStyle w:val="2"/>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65"/>
    </w:p>
    <w:p>
      <w:pPr>
        <w:pStyle w:val="4"/>
        <w:rPr>
          <w:rStyle w:val="25"/>
          <w:rFonts w:hint="eastAsia" w:ascii="仿宋" w:hAnsi="仿宋" w:eastAsia="仿宋"/>
          <w:b w:val="0"/>
          <w:bCs w:val="0"/>
          <w:color w:val="auto"/>
          <w:highlight w:val="none"/>
        </w:rPr>
      </w:pPr>
      <w:bookmarkStart w:id="66"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73920"/>
    <w:multiLevelType w:val="singleLevel"/>
    <w:tmpl w:val="8FD73920"/>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OTRiZmM5ZGNkMzE2OThhZmNmNTA0MjU5N2JmZ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D800C1"/>
    <w:rsid w:val="0A2032A3"/>
    <w:rsid w:val="0B8A37D8"/>
    <w:rsid w:val="0F977E1D"/>
    <w:rsid w:val="10C055FF"/>
    <w:rsid w:val="118107EC"/>
    <w:rsid w:val="11DD6519"/>
    <w:rsid w:val="16BB723D"/>
    <w:rsid w:val="18015F3F"/>
    <w:rsid w:val="1BE8440E"/>
    <w:rsid w:val="1D155CEE"/>
    <w:rsid w:val="20892C6D"/>
    <w:rsid w:val="20F57F95"/>
    <w:rsid w:val="240371BF"/>
    <w:rsid w:val="24262298"/>
    <w:rsid w:val="25C741E6"/>
    <w:rsid w:val="27842671"/>
    <w:rsid w:val="29FD04D3"/>
    <w:rsid w:val="2ABE7A3E"/>
    <w:rsid w:val="2EFA178C"/>
    <w:rsid w:val="2F6C4555"/>
    <w:rsid w:val="30B46D73"/>
    <w:rsid w:val="319F7F4E"/>
    <w:rsid w:val="33B61B4D"/>
    <w:rsid w:val="39AE70AB"/>
    <w:rsid w:val="3C0C0783"/>
    <w:rsid w:val="3F9F3A96"/>
    <w:rsid w:val="41A85260"/>
    <w:rsid w:val="47037FD3"/>
    <w:rsid w:val="493C27E9"/>
    <w:rsid w:val="496F39ED"/>
    <w:rsid w:val="49FF41D3"/>
    <w:rsid w:val="4BE068DB"/>
    <w:rsid w:val="4BF6002B"/>
    <w:rsid w:val="4DD66617"/>
    <w:rsid w:val="4ECE2238"/>
    <w:rsid w:val="51DB4B86"/>
    <w:rsid w:val="55333C3E"/>
    <w:rsid w:val="64CA39A1"/>
    <w:rsid w:val="652A63C3"/>
    <w:rsid w:val="6C4A05C8"/>
    <w:rsid w:val="6E477CDE"/>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21&#20915;&#31639;&#20844;&#24320;\2021&#24180;&#23454;&#39564;&#24188;&#20799;&#22253;&#20915;&#31639;&#20844;&#24320;\&#22235;&#24029;&#30465;&#25856;&#26525;&#33457;&#24066;&#23454;&#39564;&#24188;&#20799;&#22253;.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021&#20915;&#31639;&#20844;&#24320;\2021&#24180;&#23454;&#39564;&#24188;&#20799;&#22253;&#20915;&#31639;&#20844;&#24320;\&#22235;&#24029;&#30465;&#25856;&#26525;&#33457;&#24066;&#23454;&#39564;&#24188;&#20799;&#22253;.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021&#20915;&#31639;&#20844;&#24320;\2021&#24180;&#23454;&#39564;&#24188;&#20799;&#22253;&#20915;&#31639;&#20844;&#24320;\&#22235;&#24029;&#30465;&#25856;&#26525;&#33457;&#24066;&#23454;&#39564;&#24188;&#20799;&#22253;.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021&#20915;&#31639;&#20844;&#24320;\2021&#24180;&#23454;&#39564;&#24188;&#20799;&#22253;&#20915;&#31639;&#20844;&#24320;\&#22235;&#24029;&#30465;&#25856;&#26525;&#33457;&#24066;&#23454;&#39564;&#24188;&#20799;&#2225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2021&#20915;&#31639;&#20844;&#24320;\2021&#24180;&#23454;&#39564;&#24188;&#20799;&#22253;&#20915;&#31639;&#20844;&#24320;\&#22235;&#24029;&#30465;&#25856;&#26525;&#33457;&#24066;&#23454;&#39564;&#24188;&#20799;&#22253;&#21547;&#34920;&#26684;.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2021&#20915;&#31639;&#20844;&#24320;\2021&#24180;&#23454;&#39564;&#24188;&#20799;&#22253;&#20915;&#31639;&#20844;&#24320;\&#22235;&#24029;&#30465;&#25856;&#26525;&#33457;&#24066;&#23454;&#39564;&#24188;&#20799;&#22253;&#21547;&#34920;&#2668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收、支决算总计变动情况图（单位：万元）</a:t>
            </a:r>
          </a:p>
        </c:rich>
      </c:tx>
      <c:layout/>
      <c:overlay val="0"/>
      <c:spPr>
        <a:noFill/>
        <a:ln>
          <a:noFill/>
        </a:ln>
        <a:effectLst/>
      </c:spPr>
    </c:title>
    <c:autoTitleDeleted val="0"/>
    <c:plotArea>
      <c:layout/>
      <c:barChart>
        <c:barDir val="col"/>
        <c:grouping val="clustered"/>
        <c:varyColors val="0"/>
        <c:ser>
          <c:idx val="0"/>
          <c:order val="0"/>
          <c:tx>
            <c:strRef>
              <c:f>'[四川省攀枝花市实验幼儿园.XLS]Z01 收入支出决算总表(财决公开01表)'!$C$45</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'[四川省攀枝花市实验幼儿园.XLS]Z01 收入支出决算总表(财决公开01表)'!$D$44:$E$44</c:f>
              <c:strCache>
                <c:ptCount val="2"/>
                <c:pt idx="0">
                  <c:v>收入</c:v>
                </c:pt>
                <c:pt idx="1">
                  <c:v>支出</c:v>
                </c:pt>
              </c:strCache>
            </c:strRef>
          </c:cat>
          <c:val>
            <c:numRef>
              <c:f>'[四川省攀枝花市实验幼儿园.XLS]Z01 收入支出决算总表(财决公开01表)'!$D$45:$E$45</c:f>
              <c:numCache>
                <c:formatCode>#,##0.00</c:formatCode>
                <c:ptCount val="2"/>
                <c:pt idx="0">
                  <c:v>1751.71</c:v>
                </c:pt>
                <c:pt idx="1">
                  <c:v>1711.71</c:v>
                </c:pt>
              </c:numCache>
            </c:numRef>
          </c:val>
        </c:ser>
        <c:ser>
          <c:idx val="1"/>
          <c:order val="1"/>
          <c:tx>
            <c:strRef>
              <c:f>'[四川省攀枝花市实验幼儿园.XLS]Z01 收入支出决算总表(财决公开01表)'!$C$46</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'[四川省攀枝花市实验幼儿园.XLS]Z01 收入支出决算总表(财决公开01表)'!$D$44:$E$44</c:f>
              <c:strCache>
                <c:ptCount val="2"/>
                <c:pt idx="0">
                  <c:v>收入</c:v>
                </c:pt>
                <c:pt idx="1">
                  <c:v>支出</c:v>
                </c:pt>
              </c:strCache>
            </c:strRef>
          </c:cat>
          <c:val>
            <c:numRef>
              <c:f>'[四川省攀枝花市实验幼儿园.XLS]Z01 收入支出决算总表(财决公开01表)'!$D$46:$E$46</c:f>
              <c:numCache>
                <c:formatCode>#,##0.00</c:formatCode>
                <c:ptCount val="2"/>
                <c:pt idx="0">
                  <c:v>2309.65</c:v>
                </c:pt>
                <c:pt idx="1">
                  <c:v>2309.65</c:v>
                </c:pt>
              </c:numCache>
            </c:numRef>
          </c:val>
        </c:ser>
        <c:dLbls>
          <c:showLegendKey val="0"/>
          <c:showVal val="1"/>
          <c:showCatName val="0"/>
          <c:showSerName val="0"/>
          <c:showPercent val="0"/>
          <c:showBubbleSize val="0"/>
        </c:dLbls>
        <c:gapWidth val="219"/>
        <c:overlap val="-27"/>
        <c:axId val="671314731"/>
        <c:axId val="266841115"/>
      </c:barChart>
      <c:catAx>
        <c:axId val="6713147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841115"/>
        <c:crosses val="autoZero"/>
        <c:auto val="1"/>
        <c:lblAlgn val="ctr"/>
        <c:lblOffset val="100"/>
        <c:noMultiLvlLbl val="0"/>
      </c:catAx>
      <c:valAx>
        <c:axId val="26684111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131473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'[四川省攀枝花市实验幼儿园.XLS]Z03 支出决算表(财决公开03表)'!$E$32:$F$32</c:f>
              <c:strCache>
                <c:ptCount val="2"/>
                <c:pt idx="0">
                  <c:v>基本支出</c:v>
                </c:pt>
                <c:pt idx="1">
                  <c:v>项目支出</c:v>
                </c:pt>
              </c:strCache>
            </c:strRef>
          </c:cat>
          <c:val>
            <c:numRef>
              <c:f>'[四川省攀枝花市实验幼儿园.XLS]Z03 支出决算表(财决公开03表)'!$E$33:$F$33</c:f>
              <c:numCache>
                <c:formatCode>#,##0.00</c:formatCode>
                <c:ptCount val="2"/>
                <c:pt idx="0">
                  <c:v>1680.98</c:v>
                </c:pt>
                <c:pt idx="1">
                  <c:v>628.66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财政拨款收、支决算总计变动情况（单位：万元）</a:t>
            </a:r>
            <a:endParaRPr sz="1200"/>
          </a:p>
        </c:rich>
      </c:tx>
      <c:layout/>
      <c:overlay val="0"/>
      <c:spPr>
        <a:noFill/>
        <a:ln>
          <a:noFill/>
        </a:ln>
        <a:effectLst/>
      </c:spPr>
    </c:title>
    <c:autoTitleDeleted val="0"/>
    <c:plotArea>
      <c:layout/>
      <c:barChart>
        <c:barDir val="col"/>
        <c:grouping val="clustered"/>
        <c:varyColors val="0"/>
        <c:ser>
          <c:idx val="0"/>
          <c:order val="0"/>
          <c:tx>
            <c:strRef>
              <c:f>'[四川省攀枝花市实验幼儿园.XLS]Z04 财政拨款收入支出决算总表(财决公开04表)'!$B$51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'[四川省攀枝花市实验幼儿园.XLS]Z04 财政拨款收入支出决算总表(财决公开04表)'!$C$50:$D$50</c:f>
              <c:strCache>
                <c:ptCount val="2"/>
                <c:pt idx="0">
                  <c:v>收入</c:v>
                </c:pt>
                <c:pt idx="1">
                  <c:v>支出</c:v>
                </c:pt>
              </c:strCache>
            </c:strRef>
          </c:cat>
          <c:val>
            <c:numRef>
              <c:f>'[四川省攀枝花市实验幼儿园.XLS]Z04 财政拨款收入支出决算总表(财决公开04表)'!$C$51:$D$51</c:f>
              <c:numCache>
                <c:formatCode>#,##0.00</c:formatCode>
                <c:ptCount val="2"/>
                <c:pt idx="0">
                  <c:v>1748.56</c:v>
                </c:pt>
                <c:pt idx="1">
                  <c:v>1708.56</c:v>
                </c:pt>
              </c:numCache>
            </c:numRef>
          </c:val>
        </c:ser>
        <c:ser>
          <c:idx val="1"/>
          <c:order val="1"/>
          <c:tx>
            <c:strRef>
              <c:f>'[四川省攀枝花市实验幼儿园.XLS]Z04 财政拨款收入支出决算总表(财决公开04表)'!$B$52</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'[四川省攀枝花市实验幼儿园.XLS]Z04 财政拨款收入支出决算总表(财决公开04表)'!$C$50:$D$50</c:f>
              <c:strCache>
                <c:ptCount val="2"/>
                <c:pt idx="0">
                  <c:v>收入</c:v>
                </c:pt>
                <c:pt idx="1">
                  <c:v>支出</c:v>
                </c:pt>
              </c:strCache>
            </c:strRef>
          </c:cat>
          <c:val>
            <c:numRef>
              <c:f>'[四川省攀枝花市实验幼儿园.XLS]Z04 财政拨款收入支出决算总表(财决公开04表)'!$C$52:$D$52</c:f>
              <c:numCache>
                <c:formatCode>#,##0.00</c:formatCode>
                <c:ptCount val="2"/>
                <c:pt idx="0">
                  <c:v>2309.65</c:v>
                </c:pt>
                <c:pt idx="1">
                  <c:v>2309.65</c:v>
                </c:pt>
              </c:numCache>
            </c:numRef>
          </c:val>
        </c:ser>
        <c:dLbls>
          <c:showLegendKey val="0"/>
          <c:showVal val="1"/>
          <c:showCatName val="0"/>
          <c:showSerName val="0"/>
          <c:showPercent val="0"/>
          <c:showBubbleSize val="0"/>
        </c:dLbls>
        <c:gapWidth val="219"/>
        <c:overlap val="-27"/>
        <c:axId val="194377556"/>
        <c:axId val="143516768"/>
      </c:barChart>
      <c:catAx>
        <c:axId val="1943775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516768"/>
        <c:crosses val="autoZero"/>
        <c:auto val="1"/>
        <c:lblAlgn val="ctr"/>
        <c:lblOffset val="100"/>
        <c:noMultiLvlLbl val="0"/>
      </c:catAx>
      <c:valAx>
        <c:axId val="143516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3775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一般公共预算财政拨款支出决算变动情况（单位：万元）</a:t>
            </a:r>
          </a:p>
        </c:rich>
      </c:tx>
      <c:layout/>
      <c:overlay val="0"/>
      <c:spPr>
        <a:noFill/>
        <a:ln>
          <a:noFill/>
        </a:ln>
        <a:effectLst/>
      </c:spPr>
    </c:title>
    <c:autoTitleDeleted val="0"/>
    <c:plotArea>
      <c:layout/>
      <c:barChart>
        <c:barDir val="col"/>
        <c:grouping val="clustered"/>
        <c:varyColors val="0"/>
        <c:ser>
          <c:idx val="0"/>
          <c:order val="0"/>
          <c:tx>
            <c:strRef>
              <c:f>'[四川省攀枝花市实验幼儿园.XLS]Z04 财政拨款收入支出决算总表(财决公开04表)'!$G$50</c:f>
              <c:strCache>
                <c:ptCount val="1"/>
                <c:pt idx="0">
                  <c:v>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'[四川省攀枝花市实验幼儿园.XLS]Z04 财政拨款收入支出决算总表(财决公开04表)'!$F$51:$F$52</c:f>
              <c:strCache>
                <c:ptCount val="2"/>
                <c:pt idx="0">
                  <c:v>2020年</c:v>
                </c:pt>
                <c:pt idx="1">
                  <c:v>2021年</c:v>
                </c:pt>
              </c:strCache>
            </c:strRef>
          </c:cat>
          <c:val>
            <c:numRef>
              <c:f>'[四川省攀枝花市实验幼儿园.XLS]Z04 财政拨款收入支出决算总表(财决公开04表)'!$G$51:$G$52</c:f>
              <c:numCache>
                <c:formatCode>#,##0.00</c:formatCode>
                <c:ptCount val="2"/>
                <c:pt idx="0">
                  <c:v>1708.56</c:v>
                </c:pt>
                <c:pt idx="1">
                  <c:v>2309.65</c:v>
                </c:pt>
              </c:numCache>
            </c:numRef>
          </c:val>
        </c:ser>
        <c:dLbls>
          <c:showLegendKey val="0"/>
          <c:showVal val="1"/>
          <c:showCatName val="0"/>
          <c:showSerName val="0"/>
          <c:showPercent val="0"/>
          <c:showBubbleSize val="0"/>
        </c:dLbls>
        <c:gapWidth val="219"/>
        <c:overlap val="-27"/>
        <c:axId val="943786516"/>
        <c:axId val="217082463"/>
      </c:barChart>
      <c:catAx>
        <c:axId val="9437865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7082463"/>
        <c:crosses val="autoZero"/>
        <c:auto val="1"/>
        <c:lblAlgn val="ctr"/>
        <c:lblOffset val="100"/>
        <c:noMultiLvlLbl val="0"/>
      </c:catAx>
      <c:valAx>
        <c:axId val="2170824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7865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一般公共预算财政拨款支出决算结构（单位：万元）</a:t>
            </a:r>
            <a:endParaRPr sz="1400" b="0" i="0" u="none" strike="noStrike" baseline="0">
              <a:solidFill>
                <a:srgbClr val="595959">
                  <a:alpha val="100000"/>
                </a:srgbClr>
              </a:solidFill>
              <a:latin typeface="等线" panose="02010600030101010101" charset="-122"/>
              <a:ea typeface="等线" panose="02010600030101010101" charset="-122"/>
              <a:cs typeface="等线" panose="02010600030101010101" charset="-122"/>
            </a:endParaRPr>
          </a:p>
        </c:rich>
      </c:tx>
      <c:layout>
        <c:manualLayout>
          <c:xMode val="edge"/>
          <c:yMode val="edge"/>
          <c:x val="0.120833333333333"/>
          <c:y val="0.0729166666666667"/>
        </c:manualLayout>
      </c:layout>
      <c:overlay val="0"/>
      <c:spPr>
        <a:noFill/>
        <a:ln>
          <a:noFill/>
        </a:ln>
        <a:effectLst/>
      </c:spPr>
    </c:title>
    <c:autoTitleDeleted val="0"/>
    <c:plotArea>
      <c:layout/>
      <c:pieChart>
        <c:varyColors val="1"/>
        <c:ser>
          <c:idx val="0"/>
          <c:order val="0"/>
          <c:tx>
            <c:strRef>
              <c:f>'[四川省攀枝花市实验幼儿园含表格.XLS]Z04 财政拨款收入支出决算总表(财决公开04表)'!$J$49</c:f>
              <c:strCache>
                <c:ptCount val="1"/>
                <c:pt idx="0">
                  <c:v>支出</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'[四川省攀枝花市实验幼儿园含表格.XLS]Z04 财政拨款收入支出决算总表(财决公开04表)'!$I$50:$I$52</c:f>
              <c:strCache>
                <c:ptCount val="3"/>
                <c:pt idx="0">
                  <c:v>教育支出</c:v>
                </c:pt>
                <c:pt idx="1">
                  <c:v>社会保障和就业支出</c:v>
                </c:pt>
                <c:pt idx="2">
                  <c:v>住房保障支出</c:v>
                </c:pt>
              </c:strCache>
            </c:strRef>
          </c:cat>
          <c:val>
            <c:numRef>
              <c:f>'[四川省攀枝花市实验幼儿园含表格.XLS]Z04 财政拨款收入支出决算总表(财决公开04表)'!$J$50:$J$52</c:f>
              <c:numCache>
                <c:formatCode>#,##0.00</c:formatCode>
                <c:ptCount val="3"/>
                <c:pt idx="0">
                  <c:v>2104.1</c:v>
                </c:pt>
                <c:pt idx="1">
                  <c:v>103.11</c:v>
                </c:pt>
                <c:pt idx="2">
                  <c:v>102.44</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“三公”经费财政拨款支出结构（单位：万元）</a:t>
            </a:r>
          </a:p>
        </c:rich>
      </c:tx>
      <c:layout/>
      <c:overlay val="0"/>
      <c:spPr>
        <a:noFill/>
        <a:ln>
          <a:noFill/>
        </a:ln>
        <a:effectLst/>
      </c:spPr>
    </c:title>
    <c:autoTitleDeleted val="0"/>
    <c:plotArea>
      <c:layout/>
      <c:pieChart>
        <c:varyColors val="1"/>
        <c:ser>
          <c:idx val="0"/>
          <c:order val="0"/>
          <c:tx>
            <c:strRef>
              <c:f>'[四川省攀枝花市实验幼儿园含表格.XLS]Z10 一般公共预算财政拨款“三公”经费支出决算表(财决公开1'!$I$15</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'[四川省攀枝花市实验幼儿园含表格.XLS]Z10 一般公共预算财政拨款“三公”经费支出决算表(财决公开1'!$H$16:$H$18</c:f>
              <c:strCache>
                <c:ptCount val="3"/>
                <c:pt idx="0">
                  <c:v>因公出国（境）费</c:v>
                </c:pt>
                <c:pt idx="1">
                  <c:v>公务用车购置费</c:v>
                </c:pt>
                <c:pt idx="2">
                  <c:v>公务用车运行费</c:v>
                </c:pt>
              </c:strCache>
            </c:strRef>
          </c:cat>
          <c:val>
            <c:numRef>
              <c:f>'[四川省攀枝花市实验幼儿园含表格.XLS]Z10 一般公共预算财政拨款“三公”经费支出决算表(财决公开1'!$I$16:$I$18</c:f>
              <c:numCache>
                <c:formatCode>General</c:formatCode>
                <c:ptCount val="3"/>
                <c:pt idx="0">
                  <c:v>0</c:v>
                </c:pt>
                <c:pt idx="1">
                  <c:v>0</c:v>
                </c:pt>
                <c:pt idx="2" c:formatCode="#,##0.00">
                  <c:v>1.62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46944444444444"/>
          <c:y val="0.795328399629972"/>
          <c:w val="0.641944444444444"/>
          <c:h val="0.1769195189639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6834</Words>
  <Characters>7349</Characters>
  <Lines>61</Lines>
  <Paragraphs>17</Paragraphs>
  <TotalTime>2</TotalTime>
  <ScaleCrop>false</ScaleCrop>
  <LinksUpToDate>false</LinksUpToDate>
  <CharactersWithSpaces>7394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2022-09-14T01:11:59Z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28284B244071457D9F07323F75AB1269</vt:lpwstr>
  </property>
</Properties>
</file>