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4"/>
        <w:spacing w:line="264" w:lineRule="auto"/>
        <w:ind w:left="0" w:leftChars="0" w:firstLine="0" w:firstLineChars="0"/>
        <w:jc w:val="center"/>
        <w:rPr>
          <w:rFonts w:eastAsia="黑体" w:cs="Times New Roman"/>
          <w:b/>
          <w:bCs/>
          <w:kern w:val="0"/>
          <w:sz w:val="56"/>
          <w:szCs w:val="56"/>
        </w:rPr>
      </w:pPr>
    </w:p>
    <w:p w14:paraId="69AF5F0E">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256D2143">
      <w:pPr>
        <w:spacing w:line="360" w:lineRule="auto"/>
        <w:jc w:val="center"/>
        <w:rPr>
          <w:rFonts w:hint="eastAsia"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现代服务系数智企业经营管理沙盘和数字化资源库系统采购项目</w:t>
      </w:r>
    </w:p>
    <w:p w14:paraId="22BE2E22">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4</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13</w:t>
      </w:r>
    </w:p>
    <w:p w14:paraId="0A855213">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24945765">
      <w:pPr>
        <w:jc w:val="center"/>
        <w:rPr>
          <w:rFonts w:eastAsia="黑体"/>
          <w:sz w:val="40"/>
          <w:szCs w:val="40"/>
        </w:rPr>
      </w:pPr>
      <w:r>
        <w:rPr>
          <w:rFonts w:eastAsia="华文新魏"/>
          <w:b/>
          <w:bCs/>
          <w:spacing w:val="100"/>
          <w:sz w:val="30"/>
          <w:szCs w:val="30"/>
        </w:rPr>
        <w:pict>
          <v:shape id="_x0000_i1026" o:spt="75" alt="1649314245(1)" type="#_x0000_t75" style="height:165.75pt;width:276.1pt;" filled="f" o:preferrelative="t" stroked="f" coordsize="21600,21600">
            <v:path/>
            <v:fill on="f" focussize="0,0"/>
            <v:stroke on="f"/>
            <v:imagedata r:id="rId7" o:title=""/>
            <o:lock v:ext="edit" aspectratio="t"/>
            <w10:wrap type="none"/>
            <w10:anchorlock/>
          </v:shape>
        </w:pict>
      </w:r>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4</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11</w:t>
      </w:r>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4"/>
        <w:ind w:firstLine="210"/>
        <w:rPr>
          <w:rFonts w:cs="Times New Roman"/>
        </w:rPr>
      </w:pPr>
    </w:p>
    <w:p w14:paraId="289A0ED5">
      <w:pPr>
        <w:pStyle w:val="34"/>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3"/>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12</w:t>
      </w:r>
    </w:p>
    <w:p w14:paraId="2F7C0808">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24</w:t>
      </w:r>
    </w:p>
    <w:p w14:paraId="433D010D">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32</w:t>
      </w:r>
    </w:p>
    <w:p w14:paraId="2FE148FC">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33</w:t>
      </w:r>
    </w:p>
    <w:p w14:paraId="72844A36">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中山市技师学院现代服务系数智企业经营管理沙盘和数字化资源库系统采购项目</w:t>
      </w:r>
      <w:r>
        <w:rPr>
          <w:rFonts w:hint="eastAsia" w:cs="宋体"/>
          <w:kern w:val="28"/>
        </w:rPr>
        <w:t>以竞争性磋商方式采购，欢迎符合资格条件的供应商参加。</w:t>
      </w:r>
    </w:p>
    <w:p w14:paraId="03BAAC14">
      <w:pPr>
        <w:spacing w:line="440" w:lineRule="exact"/>
        <w:ind w:firstLine="420"/>
        <w:rPr>
          <w:rFonts w:hint="default"/>
          <w:kern w:val="28"/>
          <w:lang w:val="en-US"/>
        </w:rPr>
      </w:pPr>
      <w:r>
        <w:rPr>
          <w:rFonts w:hint="eastAsia" w:cs="宋体"/>
          <w:kern w:val="28"/>
        </w:rPr>
        <w:t>一、采购项目编号：</w:t>
      </w:r>
      <w:r>
        <w:rPr>
          <w:rFonts w:hint="eastAsia" w:cs="宋体"/>
        </w:rPr>
        <w:t>ZSSJSXYHP202</w:t>
      </w:r>
      <w:r>
        <w:rPr>
          <w:rFonts w:hint="eastAsia" w:cs="宋体"/>
          <w:lang w:val="en-US" w:eastAsia="zh-CN"/>
        </w:rPr>
        <w:t>4</w:t>
      </w:r>
      <w:r>
        <w:rPr>
          <w:rFonts w:hint="eastAsia" w:cs="宋体"/>
        </w:rPr>
        <w:t>XNCG0</w:t>
      </w:r>
      <w:r>
        <w:rPr>
          <w:rFonts w:hint="default" w:cs="宋体"/>
          <w:lang w:val="en-US" w:eastAsia="zh-CN"/>
        </w:rPr>
        <w:t>13</w:t>
      </w:r>
    </w:p>
    <w:p w14:paraId="0B6F47B6">
      <w:pPr>
        <w:spacing w:line="440" w:lineRule="exact"/>
        <w:ind w:firstLine="420"/>
        <w:rPr>
          <w:rFonts w:cs="Times New Roman"/>
          <w:kern w:val="28"/>
        </w:rPr>
      </w:pPr>
      <w:r>
        <w:rPr>
          <w:rFonts w:hint="eastAsia" w:cs="宋体"/>
          <w:kern w:val="28"/>
        </w:rPr>
        <w:t>二、项目名称：</w:t>
      </w:r>
      <w:r>
        <w:rPr>
          <w:rFonts w:hint="eastAsia" w:ascii="宋体" w:hAnsi="宋体" w:cs="宋体"/>
          <w:lang w:val="en-US" w:eastAsia="zh-CN"/>
        </w:rPr>
        <w:t>现代服务系数智企业经营管理沙盘和数字化资源库系统采购项目</w:t>
      </w:r>
      <w:r>
        <w:rPr>
          <w:rFonts w:hint="eastAsia" w:cs="宋体"/>
          <w:kern w:val="28"/>
        </w:rPr>
        <w:t>。</w:t>
      </w:r>
    </w:p>
    <w:p w14:paraId="6CDBB2EE">
      <w:pPr>
        <w:spacing w:line="440" w:lineRule="exact"/>
        <w:ind w:firstLine="420" w:firstLineChars="200"/>
        <w:rPr>
          <w:rFonts w:cs="Times New Roman"/>
          <w:kern w:val="28"/>
        </w:rPr>
      </w:pPr>
      <w:r>
        <w:rPr>
          <w:rFonts w:hint="eastAsia" w:cs="宋体"/>
          <w:kern w:val="28"/>
        </w:rPr>
        <w:t>三、采购预算：</w:t>
      </w:r>
      <w:r>
        <w:rPr>
          <w:rFonts w:hint="default" w:cs="宋体"/>
          <w:kern w:val="28"/>
          <w:lang w:val="en-US" w:eastAsia="zh-CN"/>
        </w:rPr>
        <w:t>190000</w:t>
      </w:r>
      <w:r>
        <w:rPr>
          <w:rFonts w:hint="eastAsia"/>
          <w:kern w:val="28"/>
          <w:highlight w:val="none"/>
          <w:lang w:val="en-US" w:eastAsia="zh-CN"/>
        </w:rPr>
        <w:t>.00</w:t>
      </w:r>
      <w:r>
        <w:rPr>
          <w:rFonts w:hint="eastAsia" w:ascii="宋体" w:hAnsi="宋体" w:cs="宋体"/>
        </w:rPr>
        <w:t>元。</w:t>
      </w:r>
    </w:p>
    <w:p w14:paraId="79A8AD2A">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400769E8">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44CEECAD">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4</w:t>
      </w:r>
      <w:r>
        <w:rPr>
          <w:rFonts w:hint="eastAsia" w:cs="宋体"/>
        </w:rPr>
        <w:t>XNCG0</w:t>
      </w:r>
      <w:r>
        <w:rPr>
          <w:rFonts w:hint="default" w:cs="宋体"/>
          <w:lang w:val="en-US" w:eastAsia="zh-CN"/>
        </w:rPr>
        <w:t>1</w:t>
      </w:r>
      <w:r>
        <w:rPr>
          <w:rFonts w:hint="eastAsia" w:cs="宋体"/>
          <w:lang w:val="en-US" w:eastAsia="zh-CN"/>
        </w:rPr>
        <w:t>3</w:t>
      </w:r>
      <w:r>
        <w:rPr>
          <w:rFonts w:hint="eastAsia" w:cs="宋体"/>
          <w:kern w:val="28"/>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29498107">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auto"/>
          <w:kern w:val="28"/>
          <w:lang w:val="en-US" w:eastAsia="zh-CN"/>
        </w:rPr>
        <w:t>4</w:t>
      </w:r>
      <w:r>
        <w:rPr>
          <w:rFonts w:hint="eastAsia" w:cs="宋体"/>
          <w:color w:val="auto"/>
          <w:kern w:val="28"/>
        </w:rPr>
        <w:t>年</w:t>
      </w:r>
      <w:r>
        <w:rPr>
          <w:rFonts w:hint="default" w:cs="宋体"/>
          <w:color w:val="auto"/>
          <w:kern w:val="28"/>
          <w:lang w:val="en-US"/>
        </w:rPr>
        <w:t>10</w:t>
      </w:r>
      <w:r>
        <w:rPr>
          <w:rFonts w:hint="eastAsia" w:cs="宋体"/>
          <w:color w:val="auto"/>
          <w:kern w:val="28"/>
        </w:rPr>
        <w:t>月</w:t>
      </w:r>
      <w:r>
        <w:rPr>
          <w:rFonts w:hint="eastAsia"/>
          <w:color w:val="auto"/>
          <w:kern w:val="28"/>
          <w:lang w:val="en-US" w:eastAsia="zh-CN"/>
        </w:rPr>
        <w:t>28</w:t>
      </w:r>
      <w:r>
        <w:rPr>
          <w:rFonts w:hint="eastAsia" w:cs="宋体"/>
          <w:color w:val="auto"/>
          <w:kern w:val="28"/>
        </w:rPr>
        <w:t>日至</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default"/>
          <w:color w:val="auto"/>
          <w:kern w:val="28"/>
          <w:lang w:val="en-US" w:eastAsia="zh-CN"/>
        </w:rPr>
        <w:t>1</w:t>
      </w:r>
      <w:r>
        <w:rPr>
          <w:rFonts w:hint="eastAsia"/>
          <w:color w:val="auto"/>
          <w:kern w:val="28"/>
          <w:lang w:val="en-US" w:eastAsia="zh-CN"/>
        </w:rPr>
        <w:t>1</w:t>
      </w:r>
      <w:r>
        <w:rPr>
          <w:rFonts w:hint="eastAsia" w:cs="宋体"/>
          <w:color w:val="auto"/>
          <w:kern w:val="28"/>
        </w:rPr>
        <w:t>月</w:t>
      </w:r>
      <w:r>
        <w:rPr>
          <w:rFonts w:hint="eastAsia" w:cs="宋体"/>
          <w:color w:val="auto"/>
          <w:kern w:val="28"/>
          <w:lang w:val="en-US" w:eastAsia="zh-CN"/>
        </w:rPr>
        <w:t>1</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A04FE94">
      <w:pPr>
        <w:adjustRightInd w:val="0"/>
        <w:snapToGrid w:val="0"/>
        <w:spacing w:line="440" w:lineRule="exact"/>
        <w:ind w:firstLine="441" w:firstLineChars="210"/>
        <w:rPr>
          <w:rFonts w:ascii="宋体" w:cs="Times New Roman"/>
          <w:color w:val="auto"/>
        </w:rPr>
      </w:pPr>
      <w:r>
        <w:rPr>
          <w:rFonts w:hint="eastAsia" w:ascii="宋体" w:hAnsi="宋体" w:cs="宋体"/>
        </w:rPr>
        <w:t>八、响</w:t>
      </w:r>
      <w:r>
        <w:rPr>
          <w:rFonts w:hint="eastAsia" w:ascii="宋体" w:hAnsi="宋体" w:cs="宋体"/>
          <w:color w:val="auto"/>
        </w:rPr>
        <w:t>应文件递交截止时间：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7</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rPr>
        <w:t>。</w:t>
      </w:r>
    </w:p>
    <w:p w14:paraId="688FD553">
      <w:pPr>
        <w:adjustRightInd w:val="0"/>
        <w:snapToGrid w:val="0"/>
        <w:spacing w:line="440" w:lineRule="exact"/>
        <w:ind w:firstLine="441" w:firstLineChars="210"/>
        <w:rPr>
          <w:rFonts w:ascii="宋体" w:cs="Times New Roman"/>
          <w:color w:val="auto"/>
        </w:rPr>
      </w:pPr>
      <w:r>
        <w:rPr>
          <w:rFonts w:hint="eastAsia" w:ascii="宋体" w:hAnsi="宋体" w:cs="宋体"/>
          <w:color w:val="auto"/>
        </w:rPr>
        <w:t>九、中山市黄圃镇祥安北路6号</w:t>
      </w:r>
      <w:r>
        <w:rPr>
          <w:rFonts w:hint="eastAsia" w:ascii="宋体" w:hAnsi="宋体" w:cs="宋体"/>
          <w:color w:val="auto"/>
          <w:lang w:eastAsia="zh-CN"/>
        </w:rPr>
        <w:t>，</w:t>
      </w:r>
      <w:r>
        <w:rPr>
          <w:rFonts w:hint="eastAsia" w:ascii="宋体" w:hAnsi="宋体" w:cs="宋体"/>
          <w:color w:val="auto"/>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rPr>
      </w:pPr>
      <w:r>
        <w:rPr>
          <w:rFonts w:hint="eastAsia" w:ascii="宋体" w:hAnsi="宋体" w:cs="宋体"/>
          <w:color w:val="auto"/>
        </w:rPr>
        <w:t>十、磋商时间：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7</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3A6390A3">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2252C33F">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6B7EF2EC">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56EB90B9">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14:paraId="3596DC08">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14:paraId="62229C8B">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7049D663">
      <w:pPr>
        <w:spacing w:line="440" w:lineRule="exact"/>
        <w:ind w:right="840"/>
        <w:jc w:val="right"/>
        <w:rPr>
          <w:rFonts w:cs="Times New Roman"/>
        </w:rPr>
      </w:pPr>
      <w:r>
        <w:rPr>
          <w:rFonts w:hint="eastAsia" w:cs="宋体"/>
        </w:rPr>
        <w:t>发布时间：</w:t>
      </w:r>
      <w:r>
        <w:rPr>
          <w:rFonts w:hint="eastAsia"/>
          <w:highlight w:val="none"/>
          <w:lang w:val="en-US" w:eastAsia="zh-CN"/>
        </w:rPr>
        <w:t>2024</w:t>
      </w:r>
      <w:r>
        <w:rPr>
          <w:rFonts w:hint="eastAsia" w:cs="宋体"/>
          <w:highlight w:val="none"/>
        </w:rPr>
        <w:t>年</w:t>
      </w:r>
      <w:r>
        <w:rPr>
          <w:rFonts w:hint="default"/>
          <w:highlight w:val="none"/>
          <w:lang w:val="en-US" w:eastAsia="zh-CN"/>
        </w:rPr>
        <w:t>10</w:t>
      </w:r>
      <w:r>
        <w:rPr>
          <w:rFonts w:hint="eastAsia" w:cs="宋体"/>
          <w:highlight w:val="none"/>
        </w:rPr>
        <w:t>月</w:t>
      </w:r>
      <w:r>
        <w:rPr>
          <w:rFonts w:hint="eastAsia" w:cs="宋体"/>
          <w:highlight w:val="none"/>
          <w:lang w:val="en-US" w:eastAsia="zh-CN"/>
        </w:rPr>
        <w:t>28</w:t>
      </w:r>
      <w:bookmarkStart w:id="94" w:name="_GoBack"/>
      <w:bookmarkEnd w:id="94"/>
      <w:r>
        <w:rPr>
          <w:rFonts w:hint="eastAsia" w:cs="宋体"/>
          <w:highlight w:val="none"/>
        </w:rPr>
        <w:t>日</w:t>
      </w:r>
    </w:p>
    <w:p w14:paraId="4B56DC8D">
      <w:pPr>
        <w:pStyle w:val="34"/>
        <w:ind w:left="0" w:leftChars="0" w:firstLine="0" w:firstLineChars="0"/>
        <w:rPr>
          <w:rFonts w:cs="Times New Roman"/>
        </w:rPr>
      </w:pPr>
    </w:p>
    <w:p w14:paraId="5E7321EA">
      <w:pPr>
        <w:pStyle w:val="34"/>
        <w:ind w:left="0" w:leftChars="0" w:firstLine="0" w:firstLineChars="0"/>
        <w:rPr>
          <w:rFonts w:cs="Times New Roman"/>
        </w:rPr>
      </w:pPr>
    </w:p>
    <w:p w14:paraId="7BB3F405">
      <w:pPr>
        <w:pStyle w:val="34"/>
        <w:ind w:left="0" w:leftChars="0" w:firstLine="0" w:firstLineChars="0"/>
        <w:rPr>
          <w:rFonts w:cs="Times New Roman"/>
        </w:rPr>
      </w:pPr>
    </w:p>
    <w:p w14:paraId="46EF13C6">
      <w:pPr>
        <w:pStyle w:val="34"/>
        <w:ind w:left="0" w:leftChars="0" w:firstLine="0" w:firstLineChars="0"/>
        <w:rPr>
          <w:rFonts w:cs="Times New Roman"/>
        </w:rPr>
      </w:pPr>
    </w:p>
    <w:p w14:paraId="00A68288">
      <w:pPr>
        <w:pStyle w:val="34"/>
        <w:ind w:left="0" w:leftChars="0" w:firstLine="0" w:firstLineChars="0"/>
        <w:rPr>
          <w:rFonts w:cs="Times New Roman"/>
        </w:rPr>
      </w:pPr>
    </w:p>
    <w:p w14:paraId="539B36A6">
      <w:pPr>
        <w:pStyle w:val="34"/>
        <w:ind w:left="0" w:leftChars="0" w:firstLine="0" w:firstLineChars="0"/>
        <w:rPr>
          <w:rFonts w:cs="Times New Roman"/>
        </w:rPr>
      </w:pPr>
    </w:p>
    <w:p w14:paraId="1DA5AC91">
      <w:pPr>
        <w:pStyle w:val="34"/>
        <w:ind w:left="0" w:leftChars="0" w:firstLine="0" w:firstLineChars="0"/>
        <w:rPr>
          <w:rFonts w:cs="Times New Roman"/>
        </w:rPr>
      </w:pPr>
    </w:p>
    <w:p w14:paraId="5BB0B938">
      <w:pPr>
        <w:pStyle w:val="34"/>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73302469">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default" w:ascii="宋体" w:hAnsi="宋体" w:cs="宋体"/>
          <w:b/>
          <w:bCs/>
          <w:u w:val="double"/>
          <w:lang w:val="en-US" w:eastAsia="zh-CN"/>
        </w:rPr>
        <w:t>18</w:t>
      </w:r>
      <w:r>
        <w:rPr>
          <w:rFonts w:hint="eastAsia" w:ascii="宋体" w:hAnsi="宋体" w:cs="宋体"/>
          <w:b/>
          <w:bCs/>
          <w:u w:val="double"/>
          <w:lang w:val="en-US" w:eastAsia="zh-CN"/>
        </w:rPr>
        <w:t>5</w:t>
      </w:r>
      <w:r>
        <w:rPr>
          <w:rFonts w:hint="default" w:ascii="宋体" w:hAnsi="宋体" w:cs="宋体"/>
          <w:b/>
          <w:bCs/>
          <w:u w:val="double"/>
          <w:lang w:val="en-US" w:eastAsia="zh-CN"/>
        </w:rPr>
        <w:t>000</w:t>
      </w:r>
      <w:r>
        <w:rPr>
          <w:rFonts w:hint="eastAsia" w:ascii="宋体" w:hAnsi="宋体" w:cs="宋体"/>
          <w:b/>
          <w:bCs/>
          <w:u w:val="double"/>
        </w:rPr>
        <w:t>元，供应商的磋商报价不得超出其最高限价，</w:t>
      </w:r>
      <w:r>
        <w:rPr>
          <w:rFonts w:hint="eastAsia" w:ascii="宋体" w:hAnsi="宋体" w:cs="宋体"/>
          <w:b/>
          <w:bCs/>
          <w:highlight w:val="none"/>
          <w:u w:val="doubl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rPr>
        <w:t>15</w:t>
      </w:r>
      <w:r>
        <w:rPr>
          <w:rFonts w:hint="eastAsia" w:ascii="宋体" w:hAnsi="宋体" w:cs="宋体"/>
          <w:highlight w:val="none"/>
        </w:rPr>
        <w:t>个日历天。</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42540F8C">
      <w:pPr>
        <w:pStyle w:val="34"/>
        <w:rPr>
          <w:rFonts w:hint="eastAsia" w:ascii="宋体" w:hAnsi="宋体" w:cs="宋体"/>
          <w:lang w:val="hr-HR"/>
        </w:rPr>
      </w:pPr>
    </w:p>
    <w:p w14:paraId="617BBD33">
      <w:pPr>
        <w:pStyle w:val="34"/>
        <w:rPr>
          <w:rFonts w:hint="eastAsia" w:ascii="宋体" w:hAnsi="宋体" w:cs="宋体"/>
          <w:lang w:val="hr-HR"/>
        </w:rPr>
      </w:pPr>
    </w:p>
    <w:p w14:paraId="4862DC2B">
      <w:pPr>
        <w:pStyle w:val="34"/>
        <w:rPr>
          <w:rFonts w:hint="eastAsia" w:ascii="宋体" w:hAnsi="宋体" w:cs="宋体"/>
          <w:lang w:val="hr-HR"/>
        </w:rPr>
      </w:pPr>
    </w:p>
    <w:p w14:paraId="29DE7C59">
      <w:pPr>
        <w:pStyle w:val="34"/>
        <w:rPr>
          <w:rFonts w:hint="eastAsia" w:ascii="宋体" w:hAnsi="宋体" w:cs="宋体"/>
          <w:lang w:val="hr-HR"/>
        </w:rPr>
      </w:pPr>
    </w:p>
    <w:p w14:paraId="398287EE">
      <w:pPr>
        <w:pStyle w:val="34"/>
        <w:rPr>
          <w:rFonts w:hint="eastAsia" w:ascii="宋体" w:hAnsi="宋体" w:cs="宋体"/>
          <w:lang w:val="hr-HR"/>
        </w:rPr>
      </w:pPr>
    </w:p>
    <w:p w14:paraId="6B58F3FD">
      <w:pPr>
        <w:pStyle w:val="34"/>
        <w:rPr>
          <w:rFonts w:hint="eastAsia" w:ascii="宋体" w:hAnsi="宋体" w:cs="宋体"/>
          <w:lang w:val="hr-HR"/>
        </w:rPr>
      </w:pPr>
    </w:p>
    <w:p w14:paraId="70FFAEAB">
      <w:pPr>
        <w:pStyle w:val="34"/>
        <w:rPr>
          <w:rFonts w:hint="eastAsia" w:ascii="宋体" w:hAnsi="宋体" w:cs="宋体"/>
          <w:lang w:val="hr-HR"/>
        </w:rPr>
      </w:pPr>
    </w:p>
    <w:p w14:paraId="306D793B">
      <w:pPr>
        <w:pStyle w:val="34"/>
        <w:rPr>
          <w:rFonts w:hint="eastAsia" w:ascii="宋体" w:hAnsi="宋体" w:cs="宋体"/>
          <w:lang w:val="hr-HR"/>
        </w:rPr>
      </w:pPr>
    </w:p>
    <w:p w14:paraId="7B974679">
      <w:pPr>
        <w:pStyle w:val="34"/>
        <w:rPr>
          <w:rFonts w:hint="eastAsia" w:ascii="宋体" w:hAnsi="宋体" w:cs="宋体"/>
          <w:lang w:val="hr-HR"/>
        </w:rPr>
      </w:pPr>
    </w:p>
    <w:p w14:paraId="3DB0223C">
      <w:pPr>
        <w:pStyle w:val="34"/>
        <w:rPr>
          <w:rFonts w:hint="eastAsia" w:ascii="宋体" w:hAnsi="宋体" w:cs="宋体"/>
          <w:lang w:val="hr-HR"/>
        </w:rPr>
      </w:pPr>
    </w:p>
    <w:p w14:paraId="4DA5EFAA">
      <w:pPr>
        <w:pStyle w:val="34"/>
        <w:rPr>
          <w:rFonts w:hint="eastAsia" w:ascii="宋体" w:hAnsi="宋体" w:cs="宋体"/>
          <w:lang w:val="hr-HR"/>
        </w:rPr>
      </w:pPr>
    </w:p>
    <w:p w14:paraId="67D84FC6">
      <w:pPr>
        <w:pStyle w:val="34"/>
        <w:rPr>
          <w:rFonts w:hint="eastAsia" w:ascii="宋体" w:hAnsi="宋体" w:cs="宋体"/>
          <w:lang w:val="hr-HR"/>
        </w:rPr>
      </w:pPr>
    </w:p>
    <w:p w14:paraId="749A5C8C">
      <w:pPr>
        <w:pStyle w:val="34"/>
        <w:ind w:left="0" w:leftChars="0" w:firstLine="0" w:firstLineChars="0"/>
        <w:rPr>
          <w:rFonts w:hint="eastAsia" w:ascii="宋体" w:hAnsi="宋体" w:cs="宋体"/>
          <w:lang w:val="hr-HR"/>
        </w:rPr>
      </w:pPr>
    </w:p>
    <w:p w14:paraId="0EC3D4D4">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采购清单</w:t>
      </w:r>
      <w:r>
        <w:rPr>
          <w:rFonts w:hint="eastAsia" w:ascii="宋体" w:hAnsi="宋体" w:cs="宋体"/>
          <w:b/>
          <w:bCs/>
          <w:highlight w:val="none"/>
          <w:lang w:val="en-US" w:eastAsia="zh-CN"/>
        </w:rPr>
        <w:t xml:space="preserve"> </w:t>
      </w:r>
    </w:p>
    <w:tbl>
      <w:tblPr>
        <w:tblStyle w:val="35"/>
        <w:tblW w:w="5045" w:type="pct"/>
        <w:tblInd w:w="0" w:type="dxa"/>
        <w:tblLayout w:type="fixed"/>
        <w:tblCellMar>
          <w:top w:w="0" w:type="dxa"/>
          <w:left w:w="108" w:type="dxa"/>
          <w:bottom w:w="0" w:type="dxa"/>
          <w:right w:w="108" w:type="dxa"/>
        </w:tblCellMar>
      </w:tblPr>
      <w:tblGrid>
        <w:gridCol w:w="677"/>
        <w:gridCol w:w="1417"/>
        <w:gridCol w:w="5099"/>
        <w:gridCol w:w="643"/>
        <w:gridCol w:w="581"/>
        <w:gridCol w:w="1148"/>
      </w:tblGrid>
      <w:tr w14:paraId="48D0A765">
        <w:tblPrEx>
          <w:tblCellMar>
            <w:top w:w="0" w:type="dxa"/>
            <w:left w:w="108" w:type="dxa"/>
            <w:bottom w:w="0" w:type="dxa"/>
            <w:right w:w="108" w:type="dxa"/>
          </w:tblCellMar>
        </w:tblPrEx>
        <w:trPr>
          <w:trHeight w:val="585" w:hRule="atLeast"/>
        </w:trPr>
        <w:tc>
          <w:tcPr>
            <w:tcW w:w="35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0D3058">
            <w:pPr>
              <w:widowControl/>
              <w:jc w:val="center"/>
              <w:textAlignment w:val="center"/>
              <w:rPr>
                <w:rFonts w:hint="eastAsia" w:ascii="宋体" w:hAnsi="宋体" w:cs="宋体"/>
                <w:color w:val="000000"/>
                <w:sz w:val="22"/>
                <w:szCs w:val="22"/>
              </w:rPr>
            </w:pPr>
            <w:bookmarkStart w:id="5" w:name="_Toc15568"/>
            <w:bookmarkStart w:id="6" w:name="_Toc15288"/>
            <w:r>
              <w:rPr>
                <w:rFonts w:hint="eastAsia" w:ascii="宋体" w:hAnsi="宋体" w:cs="宋体"/>
                <w:color w:val="000000"/>
                <w:kern w:val="0"/>
                <w:sz w:val="22"/>
                <w:szCs w:val="22"/>
                <w:lang w:bidi="ar"/>
              </w:rPr>
              <w:t>序号</w:t>
            </w:r>
          </w:p>
        </w:tc>
        <w:tc>
          <w:tcPr>
            <w:tcW w:w="740" w:type="pct"/>
            <w:tcBorders>
              <w:top w:val="single" w:color="auto" w:sz="4" w:space="0"/>
              <w:left w:val="nil"/>
              <w:bottom w:val="single" w:color="auto" w:sz="4" w:space="0"/>
              <w:right w:val="single" w:color="auto" w:sz="4" w:space="0"/>
            </w:tcBorders>
            <w:noWrap w:val="0"/>
            <w:vAlign w:val="center"/>
          </w:tcPr>
          <w:p w14:paraId="32064D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内容</w:t>
            </w:r>
          </w:p>
        </w:tc>
        <w:tc>
          <w:tcPr>
            <w:tcW w:w="2665" w:type="pct"/>
            <w:tcBorders>
              <w:top w:val="single" w:color="auto" w:sz="4" w:space="0"/>
              <w:left w:val="nil"/>
              <w:bottom w:val="single" w:color="auto" w:sz="4" w:space="0"/>
              <w:right w:val="single" w:color="auto" w:sz="4" w:space="0"/>
            </w:tcBorders>
            <w:noWrap w:val="0"/>
            <w:vAlign w:val="center"/>
          </w:tcPr>
          <w:p w14:paraId="5F8913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产品规格</w:t>
            </w:r>
          </w:p>
        </w:tc>
        <w:tc>
          <w:tcPr>
            <w:tcW w:w="336" w:type="pct"/>
            <w:tcBorders>
              <w:top w:val="single" w:color="auto" w:sz="4" w:space="0"/>
              <w:left w:val="nil"/>
              <w:bottom w:val="single" w:color="auto" w:sz="4" w:space="0"/>
              <w:right w:val="single" w:color="auto" w:sz="4" w:space="0"/>
            </w:tcBorders>
            <w:noWrap w:val="0"/>
            <w:vAlign w:val="center"/>
          </w:tcPr>
          <w:p w14:paraId="218F21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303" w:type="pct"/>
            <w:tcBorders>
              <w:top w:val="single" w:color="auto" w:sz="4" w:space="0"/>
              <w:left w:val="nil"/>
              <w:bottom w:val="single" w:color="auto" w:sz="4" w:space="0"/>
              <w:right w:val="single" w:color="auto" w:sz="4" w:space="0"/>
            </w:tcBorders>
            <w:noWrap w:val="0"/>
            <w:vAlign w:val="center"/>
          </w:tcPr>
          <w:p w14:paraId="304C3B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600" w:type="pct"/>
            <w:tcBorders>
              <w:top w:val="single" w:color="auto" w:sz="4" w:space="0"/>
              <w:left w:val="nil"/>
              <w:bottom w:val="single" w:color="auto" w:sz="4" w:space="0"/>
              <w:right w:val="single" w:color="auto" w:sz="4" w:space="0"/>
            </w:tcBorders>
            <w:noWrap w:val="0"/>
            <w:vAlign w:val="center"/>
          </w:tcPr>
          <w:p w14:paraId="4EBA5B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14:paraId="309A4D5C">
        <w:tblPrEx>
          <w:tblCellMar>
            <w:top w:w="0" w:type="dxa"/>
            <w:left w:w="108" w:type="dxa"/>
            <w:bottom w:w="0" w:type="dxa"/>
            <w:right w:w="108" w:type="dxa"/>
          </w:tblCellMar>
        </w:tblPrEx>
        <w:trPr>
          <w:trHeight w:val="758" w:hRule="atLeast"/>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14:paraId="01100C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40" w:type="pct"/>
            <w:tcBorders>
              <w:top w:val="nil"/>
              <w:left w:val="nil"/>
              <w:bottom w:val="single" w:color="auto" w:sz="4" w:space="0"/>
              <w:right w:val="single" w:color="auto" w:sz="4" w:space="0"/>
            </w:tcBorders>
            <w:noWrap w:val="0"/>
            <w:vAlign w:val="center"/>
          </w:tcPr>
          <w:p w14:paraId="31E36056">
            <w:pPr>
              <w:widowControl/>
              <w:jc w:val="center"/>
              <w:rPr>
                <w:rFonts w:hint="eastAsia" w:ascii="宋体" w:hAnsi="宋体" w:eastAsia="宋体" w:cs="宋体"/>
                <w:kern w:val="0"/>
                <w:sz w:val="24"/>
                <w:szCs w:val="24"/>
              </w:rPr>
            </w:pPr>
            <w:r>
              <w:rPr>
                <w:rFonts w:hint="eastAsia" w:ascii="宋体" w:hAnsi="宋体" w:eastAsia="宋体" w:cs="宋体"/>
                <w:b w:val="0"/>
                <w:bCs w:val="0"/>
                <w:color w:val="000000"/>
                <w:kern w:val="0"/>
                <w:sz w:val="24"/>
                <w:szCs w:val="24"/>
                <w:lang w:val="en-US" w:eastAsia="zh-CN"/>
              </w:rPr>
              <w:t>数智</w:t>
            </w:r>
            <w:r>
              <w:rPr>
                <w:rFonts w:hint="eastAsia" w:ascii="宋体" w:hAnsi="宋体" w:eastAsia="宋体" w:cs="宋体"/>
                <w:b w:val="0"/>
                <w:bCs w:val="0"/>
                <w:color w:val="000000"/>
                <w:kern w:val="0"/>
                <w:sz w:val="24"/>
                <w:szCs w:val="24"/>
                <w:lang w:eastAsia="zh-CN"/>
              </w:rPr>
              <w:t>企业经营管理沙盘</w:t>
            </w:r>
          </w:p>
        </w:tc>
        <w:tc>
          <w:tcPr>
            <w:tcW w:w="2665" w:type="pct"/>
            <w:tcBorders>
              <w:top w:val="single" w:color="auto" w:sz="4" w:space="0"/>
              <w:left w:val="nil"/>
              <w:bottom w:val="single" w:color="auto" w:sz="4" w:space="0"/>
              <w:right w:val="single" w:color="000000" w:sz="4" w:space="0"/>
            </w:tcBorders>
            <w:noWrap w:val="0"/>
            <w:vAlign w:val="top"/>
          </w:tcPr>
          <w:p w14:paraId="48BB152E">
            <w:pPr>
              <w:widowControl/>
              <w:spacing w:before="120" w:after="120"/>
              <w:jc w:val="center"/>
              <w:textAlignment w:val="top"/>
              <w:rPr>
                <w:rFonts w:hint="eastAsia" w:ascii="宋体" w:hAnsi="宋体" w:eastAsia="宋体" w:cs="宋体"/>
                <w:color w:val="000000"/>
                <w:sz w:val="24"/>
                <w:szCs w:val="24"/>
              </w:rPr>
            </w:pPr>
            <w:r>
              <w:rPr>
                <w:rFonts w:hint="eastAsia" w:ascii="宋体" w:hAnsi="宋体" w:eastAsia="宋体" w:cs="宋体"/>
                <w:kern w:val="0"/>
                <w:sz w:val="24"/>
                <w:szCs w:val="24"/>
              </w:rPr>
              <w:t>S+Cloud认知实践教学平台</w:t>
            </w:r>
            <w:r>
              <w:rPr>
                <w:rFonts w:hint="eastAsia" w:ascii="宋体" w:hAnsi="宋体" w:eastAsia="宋体" w:cs="宋体"/>
                <w:color w:val="000000"/>
                <w:kern w:val="0"/>
                <w:sz w:val="24"/>
                <w:szCs w:val="24"/>
                <w:lang w:bidi="ar"/>
              </w:rPr>
              <w:t>。参数请参见附件一《</w:t>
            </w:r>
            <w:r>
              <w:rPr>
                <w:rFonts w:hint="eastAsia" w:ascii="宋体" w:hAnsi="宋体" w:eastAsia="宋体" w:cs="宋体"/>
                <w:b w:val="0"/>
                <w:bCs/>
                <w:sz w:val="24"/>
                <w:szCs w:val="24"/>
              </w:rPr>
              <w:t>技术参数要求</w:t>
            </w:r>
            <w:r>
              <w:rPr>
                <w:rFonts w:hint="eastAsia" w:ascii="宋体" w:hAnsi="宋体" w:eastAsia="宋体" w:cs="宋体"/>
                <w:b w:val="0"/>
                <w:bCs/>
                <w:color w:val="000000"/>
                <w:kern w:val="0"/>
                <w:sz w:val="24"/>
                <w:szCs w:val="24"/>
                <w:lang w:bidi="ar"/>
              </w:rPr>
              <w:t>清单</w:t>
            </w:r>
            <w:r>
              <w:rPr>
                <w:rFonts w:hint="eastAsia" w:ascii="宋体" w:hAnsi="宋体" w:eastAsia="宋体" w:cs="宋体"/>
                <w:color w:val="000000"/>
                <w:kern w:val="0"/>
                <w:sz w:val="24"/>
                <w:szCs w:val="24"/>
                <w:lang w:bidi="ar"/>
              </w:rPr>
              <w:t>》。</w:t>
            </w:r>
          </w:p>
        </w:tc>
        <w:tc>
          <w:tcPr>
            <w:tcW w:w="336" w:type="pct"/>
            <w:tcBorders>
              <w:top w:val="single" w:color="auto" w:sz="4" w:space="0"/>
              <w:left w:val="nil"/>
              <w:bottom w:val="single" w:color="auto" w:sz="4" w:space="0"/>
              <w:right w:val="single" w:color="000000" w:sz="4" w:space="0"/>
            </w:tcBorders>
            <w:noWrap w:val="0"/>
            <w:vAlign w:val="center"/>
          </w:tcPr>
          <w:p w14:paraId="34EEE0D7">
            <w:pPr>
              <w:pStyle w:val="97"/>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03" w:type="pct"/>
            <w:tcBorders>
              <w:top w:val="single" w:color="auto" w:sz="4" w:space="0"/>
              <w:left w:val="nil"/>
              <w:bottom w:val="single" w:color="auto" w:sz="4" w:space="0"/>
              <w:right w:val="single" w:color="000000" w:sz="4" w:space="0"/>
            </w:tcBorders>
            <w:noWrap w:val="0"/>
            <w:vAlign w:val="center"/>
          </w:tcPr>
          <w:p w14:paraId="40E76553">
            <w:pPr>
              <w:pStyle w:val="97"/>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600" w:type="pct"/>
            <w:tcBorders>
              <w:top w:val="single" w:color="auto" w:sz="4" w:space="0"/>
              <w:left w:val="nil"/>
              <w:bottom w:val="single" w:color="auto" w:sz="4" w:space="0"/>
              <w:right w:val="single" w:color="000000" w:sz="4" w:space="0"/>
            </w:tcBorders>
            <w:noWrap w:val="0"/>
            <w:vAlign w:val="center"/>
          </w:tcPr>
          <w:p w14:paraId="0BF4A9A3">
            <w:pPr>
              <w:pStyle w:val="97"/>
              <w:ind w:firstLine="0" w:firstLineChars="0"/>
              <w:jc w:val="center"/>
              <w:rPr>
                <w:rFonts w:hint="eastAsia" w:ascii="宋体" w:hAnsi="宋体" w:eastAsia="宋体" w:cs="宋体"/>
                <w:sz w:val="24"/>
                <w:szCs w:val="24"/>
              </w:rPr>
            </w:pPr>
          </w:p>
        </w:tc>
      </w:tr>
      <w:tr w14:paraId="79B87E80">
        <w:tblPrEx>
          <w:tblCellMar>
            <w:top w:w="0" w:type="dxa"/>
            <w:left w:w="108" w:type="dxa"/>
            <w:bottom w:w="0" w:type="dxa"/>
            <w:right w:w="108" w:type="dxa"/>
          </w:tblCellMar>
        </w:tblPrEx>
        <w:trPr>
          <w:trHeight w:val="631" w:hRule="atLeast"/>
        </w:trPr>
        <w:tc>
          <w:tcPr>
            <w:tcW w:w="35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EED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40" w:type="pct"/>
            <w:tcBorders>
              <w:top w:val="single" w:color="auto" w:sz="4" w:space="0"/>
              <w:left w:val="nil"/>
              <w:bottom w:val="single" w:color="auto" w:sz="4" w:space="0"/>
              <w:right w:val="single" w:color="auto" w:sz="4" w:space="0"/>
            </w:tcBorders>
            <w:noWrap w:val="0"/>
            <w:vAlign w:val="center"/>
          </w:tcPr>
          <w:p w14:paraId="2ED4DA49">
            <w:pPr>
              <w:widowControl/>
              <w:jc w:val="center"/>
              <w:rPr>
                <w:rFonts w:hint="eastAsia" w:ascii="宋体" w:hAnsi="宋体" w:eastAsia="宋体" w:cs="宋体"/>
                <w:color w:val="000000"/>
                <w:kern w:val="0"/>
                <w:sz w:val="24"/>
                <w:szCs w:val="24"/>
                <w:lang w:bidi="ar"/>
              </w:rPr>
            </w:pPr>
            <w:r>
              <w:rPr>
                <w:rFonts w:hint="eastAsia" w:ascii="宋体" w:hAnsi="宋体" w:eastAsia="宋体" w:cs="宋体"/>
                <w:b w:val="0"/>
                <w:bCs w:val="0"/>
                <w:sz w:val="24"/>
                <w:szCs w:val="24"/>
                <w:lang w:val="en-US" w:eastAsia="zh-CN"/>
              </w:rPr>
              <w:t>数字化资源库系统</w:t>
            </w:r>
          </w:p>
        </w:tc>
        <w:tc>
          <w:tcPr>
            <w:tcW w:w="2665" w:type="pct"/>
            <w:tcBorders>
              <w:top w:val="single" w:color="auto" w:sz="4" w:space="0"/>
              <w:left w:val="nil"/>
              <w:bottom w:val="single" w:color="auto" w:sz="4" w:space="0"/>
              <w:right w:val="single" w:color="000000" w:sz="4" w:space="0"/>
            </w:tcBorders>
            <w:noWrap w:val="0"/>
            <w:vAlign w:val="top"/>
          </w:tcPr>
          <w:p w14:paraId="6800FD59">
            <w:pPr>
              <w:widowControl/>
              <w:spacing w:before="120" w:after="120"/>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V1.0.</w:t>
            </w:r>
            <w:r>
              <w:rPr>
                <w:rFonts w:hint="eastAsia" w:ascii="宋体" w:hAnsi="宋体" w:eastAsia="宋体" w:cs="宋体"/>
                <w:color w:val="000000"/>
                <w:kern w:val="0"/>
                <w:sz w:val="24"/>
                <w:szCs w:val="24"/>
                <w:lang w:bidi="ar"/>
              </w:rPr>
              <w:t>详情请参见附件二《</w:t>
            </w:r>
            <w:r>
              <w:rPr>
                <w:rFonts w:hint="eastAsia" w:ascii="宋体" w:hAnsi="宋体" w:eastAsia="宋体" w:cs="宋体"/>
                <w:b w:val="0"/>
                <w:bCs/>
                <w:sz w:val="24"/>
                <w:szCs w:val="24"/>
              </w:rPr>
              <w:t>技术参数要求</w:t>
            </w:r>
            <w:r>
              <w:rPr>
                <w:rFonts w:hint="eastAsia" w:ascii="宋体" w:hAnsi="宋体" w:eastAsia="宋体" w:cs="宋体"/>
                <w:b w:val="0"/>
                <w:bCs/>
                <w:color w:val="000000"/>
                <w:kern w:val="0"/>
                <w:sz w:val="24"/>
                <w:szCs w:val="24"/>
                <w:lang w:bidi="ar"/>
              </w:rPr>
              <w:t>清单</w:t>
            </w:r>
            <w:r>
              <w:rPr>
                <w:rFonts w:hint="eastAsia" w:ascii="宋体" w:hAnsi="宋体" w:eastAsia="宋体" w:cs="宋体"/>
                <w:color w:val="000000"/>
                <w:kern w:val="0"/>
                <w:sz w:val="24"/>
                <w:szCs w:val="24"/>
                <w:lang w:bidi="ar"/>
              </w:rPr>
              <w:t>》。</w:t>
            </w:r>
          </w:p>
        </w:tc>
        <w:tc>
          <w:tcPr>
            <w:tcW w:w="336" w:type="pct"/>
            <w:tcBorders>
              <w:top w:val="single" w:color="auto" w:sz="4" w:space="0"/>
              <w:left w:val="nil"/>
              <w:bottom w:val="single" w:color="auto" w:sz="4" w:space="0"/>
              <w:right w:val="single" w:color="000000" w:sz="4" w:space="0"/>
            </w:tcBorders>
            <w:noWrap w:val="0"/>
            <w:vAlign w:val="center"/>
          </w:tcPr>
          <w:p w14:paraId="159E9389">
            <w:pPr>
              <w:pStyle w:val="97"/>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03" w:type="pct"/>
            <w:tcBorders>
              <w:top w:val="single" w:color="auto" w:sz="4" w:space="0"/>
              <w:left w:val="nil"/>
              <w:bottom w:val="single" w:color="auto" w:sz="4" w:space="0"/>
              <w:right w:val="single" w:color="000000" w:sz="4" w:space="0"/>
            </w:tcBorders>
            <w:noWrap w:val="0"/>
            <w:vAlign w:val="center"/>
          </w:tcPr>
          <w:p w14:paraId="47039C5C">
            <w:pPr>
              <w:pStyle w:val="97"/>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600" w:type="pct"/>
            <w:tcBorders>
              <w:top w:val="single" w:color="auto" w:sz="4" w:space="0"/>
              <w:left w:val="nil"/>
              <w:bottom w:val="single" w:color="auto" w:sz="4" w:space="0"/>
              <w:right w:val="single" w:color="000000" w:sz="4" w:space="0"/>
            </w:tcBorders>
            <w:noWrap w:val="0"/>
            <w:vAlign w:val="center"/>
          </w:tcPr>
          <w:p w14:paraId="5861EF7C">
            <w:pPr>
              <w:pStyle w:val="97"/>
              <w:ind w:firstLine="0" w:firstLineChars="0"/>
              <w:jc w:val="center"/>
              <w:rPr>
                <w:rFonts w:hint="eastAsia" w:ascii="宋体" w:hAnsi="宋体" w:eastAsia="宋体" w:cs="宋体"/>
                <w:sz w:val="24"/>
                <w:szCs w:val="24"/>
              </w:rPr>
            </w:pPr>
          </w:p>
        </w:tc>
      </w:tr>
    </w:tbl>
    <w:p w14:paraId="04A76577">
      <w:pPr>
        <w:jc w:val="left"/>
        <w:rPr>
          <w:rFonts w:hint="eastAsia" w:ascii="宋体" w:hAnsi="宋体"/>
          <w:b/>
          <w:bCs w:val="0"/>
          <w:sz w:val="28"/>
          <w:szCs w:val="28"/>
        </w:rPr>
      </w:pPr>
      <w:r>
        <w:rPr>
          <w:rFonts w:ascii="宋体" w:hAnsi="宋体"/>
          <w:b/>
          <w:bCs w:val="0"/>
          <w:sz w:val="28"/>
          <w:szCs w:val="28"/>
        </w:rPr>
        <w:t>附件一</w:t>
      </w:r>
      <w:r>
        <w:rPr>
          <w:rFonts w:hint="eastAsia" w:ascii="宋体" w:hAnsi="宋体"/>
          <w:b/>
          <w:bCs w:val="0"/>
          <w:sz w:val="28"/>
          <w:szCs w:val="28"/>
        </w:rPr>
        <w:t xml:space="preserve"> </w:t>
      </w:r>
      <w:r>
        <w:rPr>
          <w:rFonts w:hint="eastAsia" w:ascii="宋体" w:hAnsi="宋体" w:cs="宋体"/>
          <w:b/>
          <w:bCs w:val="0"/>
          <w:color w:val="000000"/>
          <w:kern w:val="0"/>
          <w:sz w:val="28"/>
          <w:szCs w:val="28"/>
          <w:lang w:bidi="ar"/>
        </w:rPr>
        <w:t>《</w:t>
      </w:r>
      <w:r>
        <w:rPr>
          <w:rFonts w:hint="eastAsia" w:ascii="宋体" w:hAnsi="宋体"/>
          <w:b/>
          <w:bCs w:val="0"/>
          <w:sz w:val="28"/>
          <w:szCs w:val="28"/>
        </w:rPr>
        <w:t>技术参数要求</w:t>
      </w:r>
      <w:r>
        <w:rPr>
          <w:rFonts w:hint="eastAsia" w:ascii="宋体" w:hAnsi="宋体" w:cs="宋体"/>
          <w:b/>
          <w:bCs w:val="0"/>
          <w:color w:val="000000"/>
          <w:kern w:val="0"/>
          <w:sz w:val="28"/>
          <w:szCs w:val="28"/>
          <w:lang w:bidi="ar"/>
        </w:rPr>
        <w:t>清单》</w:t>
      </w:r>
    </w:p>
    <w:tbl>
      <w:tblPr>
        <w:tblStyle w:val="35"/>
        <w:tblpPr w:leftFromText="180" w:rightFromText="180" w:vertAnchor="text" w:horzAnchor="page" w:tblpXSpec="center" w:tblpY="554"/>
        <w:tblOverlap w:val="never"/>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87"/>
        <w:gridCol w:w="6739"/>
        <w:gridCol w:w="673"/>
        <w:gridCol w:w="643"/>
      </w:tblGrid>
      <w:tr w14:paraId="734E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00D60511">
            <w:pPr>
              <w:spacing w:line="400" w:lineRule="exact"/>
              <w:jc w:val="center"/>
              <w:rPr>
                <w:rFonts w:ascii="宋体" w:hAnsi="宋体"/>
                <w:b/>
                <w:szCs w:val="21"/>
              </w:rPr>
            </w:pPr>
            <w:r>
              <w:rPr>
                <w:rFonts w:hint="eastAsia" w:ascii="宋体" w:hAnsi="宋体"/>
                <w:b/>
                <w:szCs w:val="21"/>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138D12D">
            <w:pPr>
              <w:spacing w:line="400" w:lineRule="exact"/>
              <w:jc w:val="center"/>
              <w:rPr>
                <w:rFonts w:ascii="宋体" w:hAnsi="宋体"/>
                <w:b/>
                <w:szCs w:val="21"/>
              </w:rPr>
            </w:pPr>
            <w:r>
              <w:rPr>
                <w:rFonts w:hint="eastAsia" w:ascii="宋体" w:hAnsi="宋体"/>
                <w:b/>
                <w:szCs w:val="21"/>
              </w:rPr>
              <w:t>设备名称</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11ECD9A0">
            <w:pPr>
              <w:spacing w:line="400" w:lineRule="exact"/>
              <w:jc w:val="center"/>
              <w:rPr>
                <w:rFonts w:ascii="宋体" w:hAnsi="宋体"/>
                <w:b/>
                <w:szCs w:val="21"/>
              </w:rPr>
            </w:pPr>
            <w:r>
              <w:rPr>
                <w:rFonts w:hint="eastAsia" w:ascii="宋体" w:hAnsi="宋体"/>
                <w:b/>
                <w:szCs w:val="21"/>
              </w:rPr>
              <w:t>技术参数要求</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A3521A9">
            <w:pPr>
              <w:spacing w:line="400" w:lineRule="exact"/>
              <w:jc w:val="center"/>
              <w:rPr>
                <w:rFonts w:ascii="宋体" w:hAnsi="宋体"/>
                <w:b/>
                <w:szCs w:val="21"/>
              </w:rPr>
            </w:pPr>
            <w:r>
              <w:rPr>
                <w:rFonts w:hint="eastAsia" w:ascii="宋体" w:hAnsi="宋体"/>
                <w:b/>
                <w:szCs w:val="21"/>
              </w:rPr>
              <w:t>数量</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15D877">
            <w:pPr>
              <w:spacing w:line="400" w:lineRule="exact"/>
              <w:jc w:val="center"/>
              <w:rPr>
                <w:rFonts w:ascii="宋体" w:hAnsi="宋体"/>
                <w:b/>
                <w:szCs w:val="21"/>
              </w:rPr>
            </w:pPr>
            <w:r>
              <w:rPr>
                <w:rFonts w:hint="eastAsia" w:ascii="宋体" w:hAnsi="宋体"/>
                <w:b/>
                <w:szCs w:val="21"/>
              </w:rPr>
              <w:t>单位</w:t>
            </w:r>
          </w:p>
        </w:tc>
      </w:tr>
      <w:tr w14:paraId="235B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6527A13">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1</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EBC84F5">
            <w:pPr>
              <w:widowControl/>
              <w:jc w:val="center"/>
              <w:rPr>
                <w:rFonts w:hint="eastAsia" w:ascii="宋体" w:hAnsi="宋体" w:eastAsia="宋体" w:cs="宋体"/>
                <w:kern w:val="0"/>
                <w:sz w:val="21"/>
                <w:szCs w:val="21"/>
                <w:lang w:val="en-US" w:eastAsia="zh-CN" w:bidi="ar-SA"/>
              </w:rPr>
            </w:pPr>
            <w:r>
              <w:rPr>
                <w:rFonts w:hint="eastAsia" w:ascii="仿宋" w:hAnsi="仿宋" w:eastAsia="仿宋" w:cs="Helvetica Neue"/>
                <w:kern w:val="0"/>
                <w:sz w:val="24"/>
                <w:lang w:eastAsia="zh-CN"/>
              </w:rPr>
              <w:t>数智企业经营管理沙盘</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7554E830">
            <w:pPr>
              <w:widowControl/>
              <w:jc w:val="left"/>
              <w:rPr>
                <w:rFonts w:ascii="宋体" w:hAnsi="宋体" w:cs="宋体"/>
                <w:kern w:val="0"/>
                <w:szCs w:val="21"/>
              </w:rPr>
            </w:pPr>
            <w:r>
              <w:rPr>
                <w:rFonts w:hint="eastAsia" w:ascii="宋体" w:hAnsi="宋体" w:cs="宋体"/>
                <w:kern w:val="0"/>
                <w:szCs w:val="21"/>
              </w:rPr>
              <w:t>一、数智企业经营管理沙盘整体要求：</w:t>
            </w:r>
          </w:p>
          <w:p w14:paraId="3D96E2C2">
            <w:pPr>
              <w:widowControl/>
              <w:jc w:val="left"/>
              <w:rPr>
                <w:rFonts w:ascii="宋体" w:hAnsi="宋体" w:cs="宋体"/>
                <w:kern w:val="0"/>
                <w:szCs w:val="21"/>
              </w:rPr>
            </w:pPr>
            <w:r>
              <w:rPr>
                <w:rFonts w:hint="eastAsia" w:ascii="宋体" w:hAnsi="宋体" w:cs="宋体"/>
                <w:kern w:val="0"/>
                <w:szCs w:val="21"/>
              </w:rPr>
              <w:t>1.通过沙盘模拟经营的方式，理实一体的课程，可帮助学生理解经营管理、数字化技术的场景；通过协作的方式理解经营，了解企业管理过程中的进销存的主要流程，学会使用SWOT分析等工具进行优劣势分析，基础的企业报表填制，使用财务分析指标评价企业。</w:t>
            </w:r>
          </w:p>
          <w:p w14:paraId="029F89B5">
            <w:pPr>
              <w:widowControl/>
              <w:jc w:val="left"/>
              <w:rPr>
                <w:rFonts w:ascii="宋体" w:hAnsi="宋体" w:cs="宋体"/>
                <w:kern w:val="0"/>
                <w:szCs w:val="21"/>
              </w:rPr>
            </w:pPr>
            <w:r>
              <w:rPr>
                <w:rFonts w:hint="eastAsia" w:ascii="宋体" w:hAnsi="宋体" w:cs="宋体"/>
                <w:kern w:val="0"/>
                <w:szCs w:val="21"/>
              </w:rPr>
              <w:t>2.展现大数据：能够对沙盘模拟中的产能数据、销售数据、进出库等数据进行实时爬取，经系统分解建模计算后，通过图形面板的形式展示，学生可以自由组建大数据看板，查询数据。</w:t>
            </w:r>
          </w:p>
          <w:p w14:paraId="7225074D">
            <w:pPr>
              <w:widowControl/>
              <w:jc w:val="left"/>
              <w:rPr>
                <w:rFonts w:ascii="宋体" w:hAnsi="宋体" w:cs="宋体"/>
                <w:kern w:val="0"/>
                <w:szCs w:val="21"/>
              </w:rPr>
            </w:pPr>
            <w:r>
              <w:rPr>
                <w:rFonts w:hint="eastAsia" w:ascii="宋体" w:hAnsi="宋体" w:cs="宋体"/>
                <w:kern w:val="0"/>
                <w:szCs w:val="21"/>
              </w:rPr>
              <w:t>3.展现AI、智能算法：通过内置的生产配置算法，以最优排产，最优效率自动对生产管理进行调整与排布，并展示实时数据，展现智能在生产管理带来的效率。</w:t>
            </w:r>
          </w:p>
          <w:p w14:paraId="183A03C1">
            <w:pPr>
              <w:widowControl/>
              <w:jc w:val="left"/>
              <w:rPr>
                <w:rFonts w:ascii="宋体" w:hAnsi="宋体" w:cs="宋体"/>
                <w:kern w:val="0"/>
                <w:szCs w:val="21"/>
              </w:rPr>
            </w:pPr>
            <w:r>
              <w:rPr>
                <w:rFonts w:hint="eastAsia" w:ascii="宋体" w:hAnsi="宋体" w:cs="宋体"/>
                <w:kern w:val="0"/>
                <w:szCs w:val="21"/>
              </w:rPr>
              <w:t>4.实时数据：经营数据从过期数据改换为实时数据，教师可以实时的分析学生的报表数据、订单完成情况，教授学生调整经营决策。</w:t>
            </w:r>
          </w:p>
          <w:p w14:paraId="7058C735">
            <w:pPr>
              <w:widowControl/>
              <w:jc w:val="left"/>
              <w:rPr>
                <w:rFonts w:ascii="宋体" w:hAnsi="宋体" w:cs="宋体"/>
                <w:kern w:val="0"/>
                <w:szCs w:val="21"/>
              </w:rPr>
            </w:pPr>
            <w:r>
              <w:rPr>
                <w:rFonts w:hint="eastAsia" w:ascii="宋体" w:hAnsi="宋体" w:cs="宋体"/>
                <w:kern w:val="0"/>
                <w:szCs w:val="21"/>
              </w:rPr>
              <w:t>5.课程思政化：在课程设计中，包括国际视野、创办一流企业、扶贫助困、诚信经营、依法纳税等大量的思政元素，在学习企业经营的同时学习法律法规、社会主义企业家精神。</w:t>
            </w:r>
          </w:p>
          <w:p w14:paraId="30D0EBEC">
            <w:pPr>
              <w:widowControl/>
              <w:jc w:val="left"/>
              <w:rPr>
                <w:rFonts w:ascii="宋体" w:hAnsi="宋体" w:cs="宋体"/>
                <w:kern w:val="0"/>
                <w:szCs w:val="21"/>
              </w:rPr>
            </w:pPr>
            <w:r>
              <w:rPr>
                <w:rFonts w:hint="eastAsia" w:ascii="宋体" w:hAnsi="宋体" w:cs="宋体"/>
                <w:kern w:val="0"/>
                <w:szCs w:val="21"/>
              </w:rPr>
              <w:t>二、教师端要求：</w:t>
            </w:r>
          </w:p>
          <w:p w14:paraId="1A69263A">
            <w:pPr>
              <w:widowControl/>
              <w:jc w:val="left"/>
              <w:rPr>
                <w:rFonts w:ascii="宋体" w:hAnsi="宋体" w:cs="宋体"/>
                <w:kern w:val="0"/>
                <w:szCs w:val="21"/>
              </w:rPr>
            </w:pPr>
            <w:r>
              <w:rPr>
                <w:rFonts w:hint="eastAsia" w:ascii="宋体" w:hAnsi="宋体" w:cs="宋体"/>
                <w:kern w:val="0"/>
                <w:szCs w:val="21"/>
              </w:rPr>
              <w:t>(一)教学管理整体:</w:t>
            </w:r>
          </w:p>
          <w:p w14:paraId="295EFA71">
            <w:pPr>
              <w:widowControl/>
              <w:jc w:val="left"/>
              <w:rPr>
                <w:rFonts w:ascii="宋体" w:hAnsi="宋体" w:cs="宋体"/>
                <w:kern w:val="0"/>
                <w:szCs w:val="21"/>
              </w:rPr>
            </w:pPr>
            <w:r>
              <w:rPr>
                <w:rFonts w:hint="eastAsia" w:ascii="宋体" w:hAnsi="宋体" w:cs="宋体"/>
                <w:kern w:val="0"/>
                <w:szCs w:val="21"/>
              </w:rPr>
              <w:t>1.平台无缝集成：教学管理平台与沙盘系统实现无缝衔接，同一平台，单点登录（同一网址）。教师可通过教学管理功能实时掌握学生的经营数据。</w:t>
            </w:r>
          </w:p>
          <w:p w14:paraId="481AA077">
            <w:pPr>
              <w:widowControl/>
              <w:jc w:val="left"/>
              <w:rPr>
                <w:rFonts w:ascii="宋体" w:hAnsi="宋体" w:cs="宋体"/>
                <w:kern w:val="0"/>
                <w:szCs w:val="21"/>
              </w:rPr>
            </w:pPr>
            <w:r>
              <w:rPr>
                <w:rFonts w:hint="eastAsia" w:ascii="宋体" w:hAnsi="宋体" w:cs="宋体"/>
                <w:kern w:val="0"/>
                <w:szCs w:val="21"/>
              </w:rPr>
              <w:t>2.理实结合：平台提供不少于5个标准案例，以及大量的相关知识点内容，理论和实践相结合。</w:t>
            </w:r>
          </w:p>
          <w:p w14:paraId="6FE984AE">
            <w:pPr>
              <w:widowControl/>
              <w:jc w:val="left"/>
              <w:rPr>
                <w:rFonts w:ascii="宋体" w:hAnsi="宋体" w:cs="宋体"/>
                <w:kern w:val="0"/>
                <w:szCs w:val="21"/>
              </w:rPr>
            </w:pPr>
            <w:r>
              <w:rPr>
                <w:rFonts w:hint="eastAsia" w:ascii="宋体" w:hAnsi="宋体" w:cs="宋体"/>
                <w:kern w:val="0"/>
                <w:szCs w:val="21"/>
              </w:rPr>
              <w:t>3.多维度评分：平台内置多维度评分模式，教师可以在实践得分、总结得分、主观评分三项内容范围内自由设定比例，系统会根据学生的学习情况以及教师的打分情况，自动计算出学生的最终得分。</w:t>
            </w:r>
          </w:p>
          <w:p w14:paraId="5F171EC1">
            <w:pPr>
              <w:widowControl/>
              <w:jc w:val="left"/>
              <w:rPr>
                <w:rFonts w:ascii="宋体" w:hAnsi="宋体" w:cs="宋体"/>
                <w:kern w:val="0"/>
                <w:szCs w:val="21"/>
              </w:rPr>
            </w:pPr>
            <w:r>
              <w:rPr>
                <w:rFonts w:hint="eastAsia" w:ascii="宋体" w:hAnsi="宋体" w:cs="宋体"/>
                <w:kern w:val="0"/>
                <w:szCs w:val="21"/>
              </w:rPr>
              <w:t>4.实训组织形式：支持选择集中实训或按照周课时进行实训，支持学生单人全岗、多人分岗的实训方式，教师可随时掌控学生整体进度。</w:t>
            </w:r>
          </w:p>
          <w:p w14:paraId="2DEF6D06">
            <w:pPr>
              <w:widowControl/>
              <w:jc w:val="left"/>
              <w:rPr>
                <w:rFonts w:ascii="宋体" w:hAnsi="宋体" w:cs="宋体"/>
                <w:kern w:val="0"/>
                <w:szCs w:val="21"/>
              </w:rPr>
            </w:pPr>
            <w:r>
              <w:rPr>
                <w:rFonts w:hint="eastAsia" w:ascii="宋体" w:hAnsi="宋体" w:cs="宋体"/>
                <w:kern w:val="0"/>
                <w:szCs w:val="21"/>
              </w:rPr>
              <w:t>5.实训案例：课程提供标准制造、电动车制造、服装制造三种不同的案例背景，可学习不同类型的企业，经营重点的区别，训练学生经营决策的能力。</w:t>
            </w:r>
          </w:p>
          <w:p w14:paraId="4130F282">
            <w:pPr>
              <w:widowControl/>
              <w:jc w:val="left"/>
              <w:rPr>
                <w:rFonts w:ascii="宋体" w:hAnsi="宋体" w:cs="宋体"/>
                <w:kern w:val="0"/>
                <w:szCs w:val="21"/>
              </w:rPr>
            </w:pPr>
            <w:r>
              <w:rPr>
                <w:rFonts w:hint="eastAsia" w:ascii="宋体" w:hAnsi="宋体" w:cs="宋体"/>
                <w:kern w:val="0"/>
                <w:szCs w:val="21"/>
              </w:rPr>
              <w:t>6.教学内容：提供模拟经营相关的知识点ppt，并可在线查看。</w:t>
            </w:r>
          </w:p>
          <w:p w14:paraId="1E20397F">
            <w:pPr>
              <w:widowControl/>
              <w:jc w:val="left"/>
              <w:rPr>
                <w:rFonts w:ascii="宋体" w:hAnsi="宋体" w:cs="宋体"/>
                <w:kern w:val="0"/>
                <w:szCs w:val="21"/>
              </w:rPr>
            </w:pPr>
            <w:r>
              <w:rPr>
                <w:rFonts w:hint="eastAsia" w:ascii="宋体" w:hAnsi="宋体" w:cs="宋体"/>
                <w:kern w:val="0"/>
                <w:szCs w:val="21"/>
              </w:rPr>
              <w:t>7.案例DIY编辑：提供教师自编案例的工具。教师可通过案例开发功能，主动编辑案例。案例编辑支持沙盘模型、经营时间、经营规则的更改。</w:t>
            </w:r>
          </w:p>
          <w:p w14:paraId="31506D6E">
            <w:pPr>
              <w:widowControl/>
              <w:jc w:val="left"/>
              <w:rPr>
                <w:rFonts w:ascii="宋体" w:hAnsi="宋体" w:cs="宋体"/>
                <w:kern w:val="0"/>
                <w:szCs w:val="21"/>
              </w:rPr>
            </w:pPr>
            <w:r>
              <w:rPr>
                <w:rFonts w:hint="eastAsia" w:ascii="宋体" w:hAnsi="宋体" w:cs="宋体"/>
                <w:kern w:val="0"/>
                <w:szCs w:val="21"/>
              </w:rPr>
              <w:t>8.GM工具台：为教师提供不少于8项实践控制功能，包括订单控制、突发事件、数据调整、注资、系统公告、一键导出、公共信息、本年广告8个功能。</w:t>
            </w:r>
          </w:p>
          <w:p w14:paraId="5FBBCC05">
            <w:pPr>
              <w:widowControl/>
              <w:jc w:val="left"/>
              <w:rPr>
                <w:rFonts w:ascii="宋体" w:hAnsi="宋体" w:cs="宋体"/>
                <w:kern w:val="0"/>
                <w:szCs w:val="21"/>
              </w:rPr>
            </w:pPr>
            <w:r>
              <w:rPr>
                <w:rFonts w:hint="eastAsia" w:ascii="宋体" w:hAnsi="宋体" w:cs="宋体"/>
                <w:kern w:val="0"/>
                <w:szCs w:val="21"/>
              </w:rPr>
              <w:t>9.智能分析：为教师提供数字化的分析工具，内置算法，可将学生的关键数据指标化，帮助教师分析实践结果。</w:t>
            </w:r>
          </w:p>
          <w:p w14:paraId="4CA60460">
            <w:pPr>
              <w:widowControl/>
              <w:jc w:val="left"/>
              <w:rPr>
                <w:rFonts w:ascii="宋体" w:hAnsi="宋体" w:cs="宋体"/>
                <w:kern w:val="0"/>
                <w:szCs w:val="21"/>
              </w:rPr>
            </w:pPr>
            <w:r>
              <w:rPr>
                <w:rFonts w:hint="eastAsia" w:ascii="宋体" w:hAnsi="宋体" w:cs="宋体"/>
                <w:kern w:val="0"/>
                <w:szCs w:val="21"/>
              </w:rPr>
              <w:t>(二)教学管理要求:</w:t>
            </w:r>
          </w:p>
          <w:p w14:paraId="45F8A282">
            <w:pPr>
              <w:widowControl/>
              <w:jc w:val="left"/>
              <w:rPr>
                <w:rFonts w:ascii="宋体" w:hAnsi="宋体" w:cs="宋体"/>
                <w:kern w:val="0"/>
                <w:szCs w:val="21"/>
              </w:rPr>
            </w:pPr>
            <w:r>
              <w:rPr>
                <w:rFonts w:hint="eastAsia" w:ascii="宋体" w:hAnsi="宋体" w:cs="宋体"/>
                <w:kern w:val="0"/>
                <w:szCs w:val="21"/>
              </w:rPr>
              <w:t>1.案例开发：</w:t>
            </w:r>
          </w:p>
          <w:p w14:paraId="03877C3A">
            <w:pPr>
              <w:widowControl/>
              <w:jc w:val="left"/>
              <w:rPr>
                <w:rFonts w:ascii="宋体" w:hAnsi="宋体" w:cs="宋体"/>
                <w:kern w:val="0"/>
                <w:szCs w:val="21"/>
              </w:rPr>
            </w:pPr>
            <w:r>
              <w:rPr>
                <w:rFonts w:hint="eastAsia" w:ascii="宋体" w:hAnsi="宋体" w:cs="宋体"/>
                <w:kern w:val="0"/>
                <w:szCs w:val="21"/>
              </w:rPr>
              <w:t>①模型设定：支持通过功能组合的模式，通过简单的勾选，即可自由拼装沙盘的模型，DIY开发沙盘。</w:t>
            </w:r>
          </w:p>
          <w:p w14:paraId="0692286A">
            <w:pPr>
              <w:widowControl/>
              <w:jc w:val="left"/>
              <w:rPr>
                <w:rFonts w:ascii="宋体" w:hAnsi="宋体" w:cs="宋体"/>
                <w:kern w:val="0"/>
                <w:szCs w:val="21"/>
              </w:rPr>
            </w:pPr>
            <w:r>
              <w:rPr>
                <w:rFonts w:hint="eastAsia" w:ascii="宋体" w:hAnsi="宋体" w:cs="宋体"/>
                <w:kern w:val="0"/>
                <w:szCs w:val="21"/>
              </w:rPr>
              <w:t>②时间轴设定：支持调整实训的经营时长，2-6个会计年自由调整，可适配多种课程组织模式。</w:t>
            </w:r>
          </w:p>
          <w:p w14:paraId="0CC33AA6">
            <w:pPr>
              <w:widowControl/>
              <w:jc w:val="left"/>
              <w:rPr>
                <w:rFonts w:ascii="宋体" w:hAnsi="宋体" w:cs="宋体"/>
                <w:kern w:val="0"/>
                <w:szCs w:val="21"/>
              </w:rPr>
            </w:pPr>
            <w:r>
              <w:rPr>
                <w:rFonts w:hint="eastAsia" w:ascii="宋体" w:hAnsi="宋体" w:cs="宋体"/>
                <w:kern w:val="0"/>
                <w:szCs w:val="21"/>
              </w:rPr>
              <w:t>③规则维护：支持自由调整各项规则的参数，更改名称与数值，细化特色案例开发，并支持导出文件和展示图片。</w:t>
            </w:r>
          </w:p>
          <w:p w14:paraId="56DB15F6">
            <w:pPr>
              <w:widowControl/>
              <w:jc w:val="left"/>
              <w:rPr>
                <w:rFonts w:ascii="宋体" w:hAnsi="宋体" w:cs="宋体"/>
                <w:kern w:val="0"/>
                <w:szCs w:val="21"/>
              </w:rPr>
            </w:pPr>
            <w:r>
              <w:rPr>
                <w:rFonts w:hint="eastAsia" w:ascii="宋体" w:hAnsi="宋体" w:cs="宋体"/>
                <w:kern w:val="0"/>
                <w:szCs w:val="21"/>
              </w:rPr>
              <w:t>④创建案例后，可在实训中进行引用。</w:t>
            </w:r>
          </w:p>
          <w:p w14:paraId="6EB3941A">
            <w:pPr>
              <w:widowControl/>
              <w:jc w:val="left"/>
              <w:rPr>
                <w:rFonts w:ascii="宋体" w:hAnsi="宋体" w:cs="宋体"/>
                <w:kern w:val="0"/>
                <w:szCs w:val="21"/>
              </w:rPr>
            </w:pPr>
            <w:r>
              <w:rPr>
                <w:rFonts w:hint="eastAsia" w:ascii="宋体" w:hAnsi="宋体" w:cs="宋体"/>
                <w:kern w:val="0"/>
                <w:szCs w:val="21"/>
              </w:rPr>
              <w:t>2.教学班管理：</w:t>
            </w:r>
          </w:p>
          <w:p w14:paraId="1052DB64">
            <w:pPr>
              <w:widowControl/>
              <w:jc w:val="left"/>
              <w:rPr>
                <w:rFonts w:ascii="宋体" w:hAnsi="宋体" w:cs="宋体"/>
                <w:kern w:val="0"/>
                <w:szCs w:val="21"/>
              </w:rPr>
            </w:pPr>
            <w:r>
              <w:rPr>
                <w:rFonts w:hint="eastAsia" w:ascii="宋体" w:hAnsi="宋体" w:cs="宋体"/>
                <w:kern w:val="0"/>
                <w:szCs w:val="21"/>
              </w:rPr>
              <w:t>①课程学习：支持在线播放学习课件。</w:t>
            </w:r>
          </w:p>
          <w:p w14:paraId="3F2D4DC6">
            <w:pPr>
              <w:widowControl/>
              <w:jc w:val="left"/>
              <w:rPr>
                <w:rFonts w:ascii="宋体" w:hAnsi="宋体" w:cs="宋体"/>
                <w:kern w:val="0"/>
                <w:szCs w:val="21"/>
              </w:rPr>
            </w:pPr>
            <w:r>
              <w:rPr>
                <w:rFonts w:hint="eastAsia" w:ascii="宋体" w:hAnsi="宋体" w:cs="宋体"/>
                <w:kern w:val="0"/>
                <w:szCs w:val="21"/>
              </w:rPr>
              <w:t>②考评设置：支持教师设置考评规则，从实践、总结、考勤等多维度的考察学生的学习成果。</w:t>
            </w:r>
          </w:p>
          <w:p w14:paraId="6371999C">
            <w:pPr>
              <w:widowControl/>
              <w:jc w:val="left"/>
              <w:rPr>
                <w:rFonts w:ascii="宋体" w:hAnsi="宋体" w:cs="宋体"/>
                <w:kern w:val="0"/>
                <w:szCs w:val="21"/>
              </w:rPr>
            </w:pPr>
            <w:r>
              <w:rPr>
                <w:rFonts w:hint="eastAsia" w:ascii="宋体" w:hAnsi="宋体" w:cs="宋体"/>
                <w:kern w:val="0"/>
                <w:szCs w:val="21"/>
              </w:rPr>
              <w:t>③教案管理：支持教师自行上传教案，支持在线播放。</w:t>
            </w:r>
          </w:p>
          <w:p w14:paraId="660C067D">
            <w:pPr>
              <w:widowControl/>
              <w:jc w:val="left"/>
              <w:rPr>
                <w:rFonts w:ascii="宋体" w:hAnsi="宋体" w:cs="宋体"/>
                <w:kern w:val="0"/>
                <w:szCs w:val="21"/>
              </w:rPr>
            </w:pPr>
            <w:r>
              <w:rPr>
                <w:rFonts w:hint="eastAsia" w:ascii="宋体" w:hAnsi="宋体" w:cs="宋体"/>
                <w:kern w:val="0"/>
                <w:szCs w:val="21"/>
              </w:rPr>
              <w:t>④课堂总结：支持浏览学生上传的总结，支持对课堂总结进行在线打分。</w:t>
            </w:r>
          </w:p>
          <w:p w14:paraId="3823F43F">
            <w:pPr>
              <w:widowControl/>
              <w:jc w:val="left"/>
              <w:rPr>
                <w:rFonts w:ascii="宋体" w:hAnsi="宋体" w:cs="宋体"/>
                <w:kern w:val="0"/>
                <w:szCs w:val="21"/>
              </w:rPr>
            </w:pPr>
            <w:r>
              <w:rPr>
                <w:rFonts w:hint="eastAsia" w:ascii="宋体" w:hAnsi="宋体" w:cs="宋体"/>
                <w:kern w:val="0"/>
                <w:szCs w:val="21"/>
              </w:rPr>
              <w:t>⑤教学评分：支持教师通过主观评价对学生打分。</w:t>
            </w:r>
          </w:p>
          <w:p w14:paraId="4D22226C">
            <w:pPr>
              <w:widowControl/>
              <w:jc w:val="left"/>
              <w:rPr>
                <w:rFonts w:ascii="宋体" w:hAnsi="宋体" w:cs="宋体"/>
                <w:kern w:val="0"/>
                <w:szCs w:val="21"/>
              </w:rPr>
            </w:pPr>
            <w:r>
              <w:rPr>
                <w:rFonts w:hint="eastAsia" w:ascii="宋体" w:hAnsi="宋体" w:cs="宋体"/>
                <w:kern w:val="0"/>
                <w:szCs w:val="21"/>
              </w:rPr>
              <w:t>⑥学情分析：可对班级的每个学生综合分析，展示其各方面的成绩以及学习记录。</w:t>
            </w:r>
          </w:p>
          <w:p w14:paraId="56095FED">
            <w:pPr>
              <w:widowControl/>
              <w:jc w:val="left"/>
              <w:rPr>
                <w:rFonts w:ascii="宋体" w:hAnsi="宋体" w:cs="宋体"/>
                <w:kern w:val="0"/>
                <w:szCs w:val="21"/>
              </w:rPr>
            </w:pPr>
            <w:r>
              <w:rPr>
                <w:rFonts w:hint="eastAsia" w:ascii="宋体" w:hAnsi="宋体" w:cs="宋体"/>
                <w:kern w:val="0"/>
                <w:szCs w:val="21"/>
              </w:rPr>
              <w:t>3.实训管理：</w:t>
            </w:r>
          </w:p>
          <w:p w14:paraId="1B3086FB">
            <w:pPr>
              <w:widowControl/>
              <w:jc w:val="left"/>
              <w:rPr>
                <w:rFonts w:ascii="宋体" w:hAnsi="宋体" w:cs="宋体"/>
                <w:kern w:val="0"/>
                <w:szCs w:val="21"/>
              </w:rPr>
            </w:pPr>
            <w:r>
              <w:rPr>
                <w:rFonts w:hint="eastAsia" w:ascii="宋体" w:hAnsi="宋体" w:cs="宋体"/>
                <w:kern w:val="0"/>
                <w:szCs w:val="21"/>
              </w:rPr>
              <w:t>①实训信息显示：展示实训信息，包括实训ID，规则名称，案例名称。</w:t>
            </w:r>
          </w:p>
          <w:p w14:paraId="777B3827">
            <w:pPr>
              <w:widowControl/>
              <w:jc w:val="left"/>
              <w:rPr>
                <w:rFonts w:ascii="宋体" w:hAnsi="宋体" w:cs="宋体"/>
                <w:kern w:val="0"/>
                <w:szCs w:val="21"/>
              </w:rPr>
            </w:pPr>
            <w:r>
              <w:rPr>
                <w:rFonts w:hint="eastAsia" w:ascii="宋体" w:hAnsi="宋体" w:cs="宋体"/>
                <w:kern w:val="0"/>
                <w:szCs w:val="21"/>
              </w:rPr>
              <w:t>②时间轴展示：展示实训的时间轴，包括节点数量，节点时间，节点操作按钮。</w:t>
            </w:r>
          </w:p>
          <w:p w14:paraId="2A16B08E">
            <w:pPr>
              <w:widowControl/>
              <w:jc w:val="left"/>
              <w:rPr>
                <w:rFonts w:ascii="宋体" w:hAnsi="宋体" w:cs="宋体"/>
                <w:kern w:val="0"/>
                <w:szCs w:val="21"/>
              </w:rPr>
            </w:pPr>
            <w:r>
              <w:rPr>
                <w:rFonts w:hint="eastAsia" w:ascii="宋体" w:hAnsi="宋体" w:cs="宋体"/>
                <w:kern w:val="0"/>
                <w:szCs w:val="21"/>
              </w:rPr>
              <w:t>③GM工作台：教师对实训控制的控制台，包括订单管理、特殊事件管理、企业数据调整，企业注资、企业数据查询、系统文件发放等等。教师可以通过工作，掌控实训过程。</w:t>
            </w:r>
          </w:p>
          <w:p w14:paraId="6B930A9D">
            <w:pPr>
              <w:widowControl/>
              <w:jc w:val="left"/>
              <w:rPr>
                <w:rFonts w:ascii="宋体" w:hAnsi="宋体" w:cs="宋体"/>
                <w:kern w:val="0"/>
                <w:szCs w:val="21"/>
              </w:rPr>
            </w:pPr>
            <w:r>
              <w:rPr>
                <w:rFonts w:hint="eastAsia" w:ascii="宋体" w:hAnsi="宋体" w:cs="宋体"/>
                <w:kern w:val="0"/>
                <w:szCs w:val="21"/>
              </w:rPr>
              <w:t>④实训工作台：支持教师自由导入学生，查看成绩等。</w:t>
            </w:r>
          </w:p>
          <w:p w14:paraId="4644BD0E">
            <w:pPr>
              <w:widowControl/>
              <w:jc w:val="left"/>
              <w:rPr>
                <w:rFonts w:ascii="宋体" w:hAnsi="宋体" w:cs="宋体"/>
                <w:kern w:val="0"/>
                <w:szCs w:val="21"/>
              </w:rPr>
            </w:pPr>
            <w:r>
              <w:rPr>
                <w:rFonts w:hint="eastAsia" w:ascii="宋体" w:hAnsi="宋体" w:cs="宋体"/>
                <w:kern w:val="0"/>
                <w:szCs w:val="21"/>
              </w:rPr>
              <w:t>⑤智能分析：内置数据采集和智能算法，自动的收集学生的数据，并经过计算后展示出来，可实时获取学生的实训情况，并帮助学生进行复盘。</w:t>
            </w:r>
          </w:p>
          <w:p w14:paraId="3BD0752B">
            <w:pPr>
              <w:widowControl/>
              <w:jc w:val="left"/>
              <w:rPr>
                <w:rFonts w:ascii="宋体" w:hAnsi="宋体" w:cs="宋体"/>
                <w:kern w:val="0"/>
                <w:szCs w:val="21"/>
              </w:rPr>
            </w:pPr>
            <w:r>
              <w:rPr>
                <w:rFonts w:hint="eastAsia" w:ascii="宋体" w:hAnsi="宋体" w:cs="宋体"/>
                <w:kern w:val="0"/>
                <w:szCs w:val="21"/>
              </w:rPr>
              <w:t>三、学生端要求：</w:t>
            </w:r>
          </w:p>
          <w:p w14:paraId="0E93F513">
            <w:pPr>
              <w:widowControl/>
              <w:jc w:val="left"/>
              <w:rPr>
                <w:rFonts w:ascii="宋体" w:hAnsi="宋体" w:cs="宋体"/>
                <w:kern w:val="0"/>
                <w:szCs w:val="21"/>
              </w:rPr>
            </w:pPr>
            <w:r>
              <w:rPr>
                <w:rFonts w:hint="eastAsia" w:ascii="宋体" w:hAnsi="宋体" w:cs="宋体"/>
                <w:kern w:val="0"/>
                <w:szCs w:val="21"/>
              </w:rPr>
              <w:t>(一)学生沙盘实践要求：</w:t>
            </w:r>
          </w:p>
          <w:p w14:paraId="45CD0EED">
            <w:pPr>
              <w:widowControl/>
              <w:jc w:val="left"/>
              <w:rPr>
                <w:rFonts w:ascii="宋体" w:hAnsi="宋体" w:cs="宋体"/>
                <w:kern w:val="0"/>
                <w:szCs w:val="21"/>
              </w:rPr>
            </w:pPr>
            <w:r>
              <w:rPr>
                <w:rFonts w:hint="eastAsia" w:ascii="宋体" w:hAnsi="宋体" w:cs="宋体"/>
                <w:kern w:val="0"/>
                <w:szCs w:val="21"/>
              </w:rPr>
              <w:t>1.模拟生产制造业的经营管理流程，通过进销存的计划和执行，系统的感受经营管理。</w:t>
            </w:r>
          </w:p>
          <w:p w14:paraId="27D6A990">
            <w:pPr>
              <w:widowControl/>
              <w:jc w:val="left"/>
              <w:rPr>
                <w:rFonts w:ascii="宋体" w:hAnsi="宋体" w:cs="宋体"/>
                <w:kern w:val="0"/>
                <w:szCs w:val="21"/>
              </w:rPr>
            </w:pPr>
            <w:r>
              <w:rPr>
                <w:rFonts w:hint="eastAsia" w:ascii="宋体" w:hAnsi="宋体" w:cs="宋体"/>
                <w:kern w:val="0"/>
                <w:szCs w:val="21"/>
              </w:rPr>
              <w:t>2.提供数字化场景的管理方式，体验从传统管理升级到智能化管理后的管理理念变革，使用智能算法推动智能生产，结合“熄灯工厂”理念，构造“产研供”一体的生产结构，学生操作后，自动购买原材料、自动转产等进行全自动生产。</w:t>
            </w:r>
          </w:p>
          <w:p w14:paraId="1FA92E3A">
            <w:pPr>
              <w:widowControl/>
              <w:jc w:val="left"/>
              <w:rPr>
                <w:rFonts w:ascii="宋体" w:hAnsi="宋体" w:cs="宋体"/>
                <w:kern w:val="0"/>
                <w:szCs w:val="21"/>
              </w:rPr>
            </w:pPr>
            <w:r>
              <w:rPr>
                <w:rFonts w:hint="eastAsia" w:ascii="宋体" w:hAnsi="宋体" w:cs="宋体"/>
                <w:kern w:val="0"/>
                <w:szCs w:val="21"/>
              </w:rPr>
              <w:t>3.提供大数据看板，系统通过算法爬取实践中的大量数据，形成易于观察的大数据看板。学生可以选择数据在看板上展示，通过自身的认知，构建DIY的大数据看板，分析自身企业在生产方面的现状，预测数据。</w:t>
            </w:r>
          </w:p>
          <w:p w14:paraId="68128436">
            <w:pPr>
              <w:widowControl/>
              <w:jc w:val="left"/>
              <w:rPr>
                <w:rFonts w:ascii="宋体" w:hAnsi="宋体" w:cs="宋体"/>
                <w:kern w:val="0"/>
                <w:szCs w:val="21"/>
              </w:rPr>
            </w:pPr>
            <w:r>
              <w:rPr>
                <w:rFonts w:hint="eastAsia" w:ascii="宋体" w:hAnsi="宋体" w:cs="宋体"/>
                <w:kern w:val="0"/>
                <w:szCs w:val="21"/>
              </w:rPr>
              <w:t>4.支持多人多岗，单人多岗、多人共岗的自由协作模式。</w:t>
            </w:r>
          </w:p>
          <w:p w14:paraId="72C8B8E8">
            <w:pPr>
              <w:widowControl/>
              <w:jc w:val="left"/>
              <w:rPr>
                <w:rFonts w:ascii="宋体" w:hAnsi="宋体" w:cs="宋体"/>
                <w:kern w:val="0"/>
                <w:szCs w:val="21"/>
              </w:rPr>
            </w:pPr>
            <w:r>
              <w:rPr>
                <w:rFonts w:hint="eastAsia" w:ascii="宋体" w:hAnsi="宋体" w:cs="宋体"/>
                <w:kern w:val="0"/>
                <w:szCs w:val="21"/>
              </w:rPr>
              <w:t>5.随身智能助教，随时可查询大量企业运营相关知识点，帮助学生自学。</w:t>
            </w:r>
          </w:p>
          <w:p w14:paraId="083C1DE5">
            <w:pPr>
              <w:widowControl/>
              <w:jc w:val="left"/>
              <w:rPr>
                <w:rFonts w:ascii="宋体" w:hAnsi="宋体" w:cs="宋体"/>
                <w:kern w:val="0"/>
                <w:szCs w:val="21"/>
              </w:rPr>
            </w:pPr>
            <w:r>
              <w:rPr>
                <w:rFonts w:hint="eastAsia" w:ascii="宋体" w:hAnsi="宋体" w:cs="宋体"/>
                <w:kern w:val="0"/>
                <w:szCs w:val="21"/>
              </w:rPr>
              <w:t>（二）学生沙盘实践要求：</w:t>
            </w:r>
          </w:p>
          <w:p w14:paraId="36D49EB0">
            <w:pPr>
              <w:widowControl/>
              <w:jc w:val="left"/>
              <w:rPr>
                <w:rFonts w:ascii="宋体" w:hAnsi="宋体" w:cs="宋体"/>
                <w:kern w:val="0"/>
                <w:szCs w:val="21"/>
              </w:rPr>
            </w:pPr>
            <w:r>
              <w:rPr>
                <w:rFonts w:hint="eastAsia" w:ascii="宋体" w:hAnsi="宋体" w:cs="宋体"/>
                <w:kern w:val="0"/>
                <w:szCs w:val="21"/>
              </w:rPr>
              <w:t>1.账号管理：</w:t>
            </w:r>
          </w:p>
          <w:p w14:paraId="3FA33B5A">
            <w:pPr>
              <w:widowControl/>
              <w:jc w:val="left"/>
              <w:rPr>
                <w:rFonts w:ascii="宋体" w:hAnsi="宋体" w:cs="宋体"/>
                <w:kern w:val="0"/>
                <w:szCs w:val="21"/>
              </w:rPr>
            </w:pPr>
            <w:r>
              <w:rPr>
                <w:rFonts w:hint="eastAsia" w:ascii="宋体" w:hAnsi="宋体" w:cs="宋体"/>
                <w:kern w:val="0"/>
                <w:szCs w:val="21"/>
              </w:rPr>
              <w:t>①登录平台：支持通过专属地址登录平台。</w:t>
            </w:r>
          </w:p>
          <w:p w14:paraId="74E40857">
            <w:pPr>
              <w:widowControl/>
              <w:jc w:val="left"/>
              <w:rPr>
                <w:rFonts w:ascii="宋体" w:hAnsi="宋体" w:cs="宋体"/>
                <w:kern w:val="0"/>
                <w:szCs w:val="21"/>
              </w:rPr>
            </w:pPr>
            <w:r>
              <w:rPr>
                <w:rFonts w:hint="eastAsia" w:ascii="宋体" w:hAnsi="宋体" w:cs="宋体"/>
                <w:kern w:val="0"/>
                <w:szCs w:val="21"/>
              </w:rPr>
              <w:t>②账户设置：支持用户进行个人资料设置，支持修改登录密码，昵称变更，头像变更。</w:t>
            </w:r>
          </w:p>
          <w:p w14:paraId="2058ED76">
            <w:pPr>
              <w:widowControl/>
              <w:jc w:val="left"/>
              <w:rPr>
                <w:rFonts w:ascii="宋体" w:hAnsi="宋体" w:cs="宋体"/>
                <w:kern w:val="0"/>
                <w:szCs w:val="21"/>
              </w:rPr>
            </w:pPr>
            <w:r>
              <w:rPr>
                <w:rFonts w:hint="eastAsia" w:ascii="宋体" w:hAnsi="宋体" w:cs="宋体"/>
                <w:kern w:val="0"/>
                <w:szCs w:val="21"/>
              </w:rPr>
              <w:t>2.沙盘教学班：</w:t>
            </w:r>
          </w:p>
          <w:p w14:paraId="34DE7F03">
            <w:pPr>
              <w:widowControl/>
              <w:jc w:val="left"/>
              <w:rPr>
                <w:rFonts w:ascii="宋体" w:hAnsi="宋体" w:cs="宋体"/>
                <w:kern w:val="0"/>
                <w:szCs w:val="21"/>
              </w:rPr>
            </w:pPr>
            <w:r>
              <w:rPr>
                <w:rFonts w:hint="eastAsia" w:ascii="宋体" w:hAnsi="宋体" w:cs="宋体"/>
                <w:kern w:val="0"/>
                <w:szCs w:val="21"/>
              </w:rPr>
              <w:t>①课程学习：支持在线选择课程；支持在线学习沙盘课程，教师和学生都可以在线进行学习和播放。</w:t>
            </w:r>
          </w:p>
          <w:p w14:paraId="4408FB6A">
            <w:pPr>
              <w:widowControl/>
              <w:jc w:val="left"/>
              <w:rPr>
                <w:rFonts w:ascii="宋体" w:hAnsi="宋体" w:cs="宋体"/>
                <w:kern w:val="0"/>
                <w:szCs w:val="21"/>
              </w:rPr>
            </w:pPr>
            <w:r>
              <w:rPr>
                <w:rFonts w:hint="eastAsia" w:ascii="宋体" w:hAnsi="宋体" w:cs="宋体"/>
                <w:kern w:val="0"/>
                <w:szCs w:val="21"/>
              </w:rPr>
              <w:t>②沙盘实训：</w:t>
            </w:r>
          </w:p>
          <w:p w14:paraId="3737EA8C">
            <w:pPr>
              <w:widowControl/>
              <w:jc w:val="left"/>
              <w:rPr>
                <w:rFonts w:ascii="宋体" w:hAnsi="宋体" w:cs="宋体"/>
                <w:kern w:val="0"/>
                <w:szCs w:val="21"/>
              </w:rPr>
            </w:pPr>
            <w:r>
              <w:rPr>
                <w:rFonts w:hint="eastAsia" w:ascii="宋体" w:hAnsi="宋体" w:cs="宋体"/>
                <w:kern w:val="0"/>
                <w:szCs w:val="21"/>
              </w:rPr>
              <w:t>a.实训列表：</w:t>
            </w:r>
          </w:p>
          <w:p w14:paraId="4E6D8E43">
            <w:pPr>
              <w:widowControl/>
              <w:jc w:val="left"/>
              <w:rPr>
                <w:rFonts w:ascii="宋体" w:hAnsi="宋体" w:cs="宋体"/>
                <w:kern w:val="0"/>
                <w:szCs w:val="21"/>
              </w:rPr>
            </w:pPr>
            <w:r>
              <w:rPr>
                <w:rFonts w:hint="eastAsia" w:ascii="宋体" w:hAnsi="宋体" w:cs="宋体"/>
                <w:kern w:val="0"/>
                <w:szCs w:val="21"/>
              </w:rPr>
              <w:t>支持按照时间、名称筛选实训；支持选择实训加入。</w:t>
            </w:r>
          </w:p>
          <w:p w14:paraId="7BF40EE6">
            <w:pPr>
              <w:widowControl/>
              <w:jc w:val="left"/>
              <w:rPr>
                <w:rFonts w:ascii="宋体" w:hAnsi="宋体" w:cs="宋体"/>
                <w:kern w:val="0"/>
                <w:szCs w:val="21"/>
              </w:rPr>
            </w:pPr>
            <w:r>
              <w:rPr>
                <w:rFonts w:hint="eastAsia" w:ascii="宋体" w:hAnsi="宋体" w:cs="宋体"/>
                <w:kern w:val="0"/>
                <w:szCs w:val="21"/>
              </w:rPr>
              <w:t>b.实训控制台：</w:t>
            </w:r>
          </w:p>
          <w:p w14:paraId="6C3CF976">
            <w:pPr>
              <w:widowControl/>
              <w:jc w:val="left"/>
              <w:rPr>
                <w:rFonts w:ascii="宋体" w:hAnsi="宋体" w:cs="宋体"/>
                <w:kern w:val="0"/>
                <w:szCs w:val="21"/>
              </w:rPr>
            </w:pPr>
            <w:r>
              <w:rPr>
                <w:rFonts w:hint="eastAsia" w:ascii="宋体" w:hAnsi="宋体" w:cs="宋体"/>
                <w:kern w:val="0"/>
                <w:szCs w:val="21"/>
              </w:rPr>
              <w:t>展示实训信息，包括案例名、规则名。展示规则明细，支持点击查看。展示经营时间信息，包括季度数、每季度剩余时间。支持成绩查看，每个季度可以查看实时的成绩，支持导出excel。</w:t>
            </w:r>
          </w:p>
          <w:p w14:paraId="1D440690">
            <w:pPr>
              <w:widowControl/>
              <w:jc w:val="left"/>
              <w:rPr>
                <w:rFonts w:ascii="宋体" w:hAnsi="宋体" w:cs="宋体"/>
                <w:kern w:val="0"/>
                <w:szCs w:val="21"/>
              </w:rPr>
            </w:pPr>
            <w:r>
              <w:rPr>
                <w:rFonts w:hint="eastAsia" w:ascii="宋体" w:hAnsi="宋体" w:cs="宋体"/>
                <w:kern w:val="0"/>
                <w:szCs w:val="21"/>
              </w:rPr>
              <w:t>③考评设置：支持学生查看教师对该教学班的考评设置。</w:t>
            </w:r>
          </w:p>
          <w:p w14:paraId="4C122F8A">
            <w:pPr>
              <w:widowControl/>
              <w:jc w:val="left"/>
              <w:rPr>
                <w:rFonts w:ascii="宋体" w:hAnsi="宋体" w:cs="宋体"/>
                <w:kern w:val="0"/>
                <w:szCs w:val="21"/>
              </w:rPr>
            </w:pPr>
            <w:r>
              <w:rPr>
                <w:rFonts w:hint="eastAsia" w:ascii="宋体" w:hAnsi="宋体" w:cs="宋体"/>
                <w:kern w:val="0"/>
                <w:szCs w:val="21"/>
              </w:rPr>
              <w:t>④课堂总结：支持学生根据实训结果自行上传课堂总结，上传后可预览。</w:t>
            </w:r>
          </w:p>
          <w:p w14:paraId="6BF0CB25">
            <w:pPr>
              <w:widowControl/>
              <w:jc w:val="left"/>
              <w:rPr>
                <w:rFonts w:ascii="宋体" w:hAnsi="宋体" w:cs="宋体"/>
                <w:kern w:val="0"/>
                <w:szCs w:val="21"/>
              </w:rPr>
            </w:pPr>
            <w:r>
              <w:rPr>
                <w:rFonts w:hint="eastAsia" w:ascii="宋体" w:hAnsi="宋体" w:cs="宋体"/>
                <w:kern w:val="0"/>
                <w:szCs w:val="21"/>
              </w:rPr>
              <w:t>⑤教师评分：支持学生查看教师给每个学生的打分。</w:t>
            </w:r>
          </w:p>
          <w:p w14:paraId="7B0FA5BE">
            <w:pPr>
              <w:widowControl/>
              <w:jc w:val="left"/>
              <w:rPr>
                <w:rFonts w:ascii="宋体" w:hAnsi="宋体" w:cs="宋体"/>
                <w:kern w:val="0"/>
                <w:szCs w:val="21"/>
              </w:rPr>
            </w:pPr>
            <w:r>
              <w:rPr>
                <w:rFonts w:hint="eastAsia" w:ascii="宋体" w:hAnsi="宋体" w:cs="宋体"/>
                <w:kern w:val="0"/>
                <w:szCs w:val="21"/>
              </w:rPr>
              <w:t>⑥学情分析：支持实训成绩、考评成绩双维评价，并记录学生的学生过程，包括实训次数、所担任的岗位、每次实训的得分等。</w:t>
            </w:r>
          </w:p>
          <w:p w14:paraId="688B038A">
            <w:pPr>
              <w:widowControl/>
              <w:jc w:val="left"/>
              <w:rPr>
                <w:rFonts w:ascii="宋体" w:hAnsi="宋体" w:cs="宋体"/>
                <w:kern w:val="0"/>
                <w:szCs w:val="21"/>
              </w:rPr>
            </w:pPr>
            <w:r>
              <w:rPr>
                <w:rFonts w:hint="eastAsia" w:ascii="宋体" w:hAnsi="宋体" w:cs="宋体"/>
                <w:kern w:val="0"/>
                <w:szCs w:val="21"/>
              </w:rPr>
              <w:t>3.实训：</w:t>
            </w:r>
          </w:p>
          <w:p w14:paraId="58C0D286">
            <w:pPr>
              <w:widowControl/>
              <w:jc w:val="left"/>
              <w:rPr>
                <w:rFonts w:ascii="宋体" w:hAnsi="宋体" w:cs="宋体"/>
                <w:kern w:val="0"/>
                <w:szCs w:val="21"/>
              </w:rPr>
            </w:pPr>
            <w:r>
              <w:rPr>
                <w:rFonts w:hint="eastAsia" w:ascii="宋体" w:hAnsi="宋体" w:cs="宋体"/>
                <w:kern w:val="0"/>
                <w:szCs w:val="21"/>
              </w:rPr>
              <w:t>①主界面：</w:t>
            </w:r>
          </w:p>
          <w:p w14:paraId="1374FC00">
            <w:pPr>
              <w:widowControl/>
              <w:jc w:val="left"/>
              <w:rPr>
                <w:rFonts w:ascii="宋体" w:hAnsi="宋体" w:cs="宋体"/>
                <w:kern w:val="0"/>
                <w:szCs w:val="21"/>
              </w:rPr>
            </w:pPr>
            <w:r>
              <w:rPr>
                <w:rFonts w:hint="eastAsia" w:ascii="宋体" w:hAnsi="宋体" w:cs="宋体"/>
                <w:kern w:val="0"/>
                <w:szCs w:val="21"/>
              </w:rPr>
              <w:t>a.智能小助教：支持关键字搜索，可通过文本模糊查询知识点，帮助学生自学相关知识。</w:t>
            </w:r>
          </w:p>
          <w:p w14:paraId="4920D227">
            <w:pPr>
              <w:widowControl/>
              <w:jc w:val="left"/>
              <w:rPr>
                <w:rFonts w:ascii="宋体" w:hAnsi="宋体" w:cs="宋体"/>
                <w:kern w:val="0"/>
                <w:szCs w:val="21"/>
              </w:rPr>
            </w:pPr>
            <w:r>
              <w:rPr>
                <w:rFonts w:hint="eastAsia" w:ascii="宋体" w:hAnsi="宋体" w:cs="宋体"/>
                <w:kern w:val="0"/>
                <w:szCs w:val="21"/>
              </w:rPr>
              <w:t>b.社会责任：内置企业家应秉承的社会责任，获取学生的经营数据并与标准数据进行对比并进行优劣评价，让学生在经营中明白企业家的意义。</w:t>
            </w:r>
          </w:p>
          <w:p w14:paraId="3F6C3C58">
            <w:pPr>
              <w:widowControl/>
              <w:jc w:val="left"/>
              <w:rPr>
                <w:rFonts w:ascii="宋体" w:hAnsi="宋体" w:cs="宋体"/>
                <w:kern w:val="0"/>
                <w:szCs w:val="21"/>
              </w:rPr>
            </w:pPr>
            <w:r>
              <w:rPr>
                <w:rFonts w:hint="eastAsia" w:ascii="宋体" w:hAnsi="宋体" w:cs="宋体"/>
                <w:kern w:val="0"/>
                <w:szCs w:val="21"/>
              </w:rPr>
              <w:t>c.交易市场：可直接购买原料和产品。</w:t>
            </w:r>
          </w:p>
          <w:p w14:paraId="5D49A30B">
            <w:pPr>
              <w:widowControl/>
              <w:jc w:val="left"/>
              <w:rPr>
                <w:rFonts w:ascii="宋体" w:hAnsi="宋体" w:cs="宋体"/>
                <w:kern w:val="0"/>
                <w:szCs w:val="21"/>
              </w:rPr>
            </w:pPr>
            <w:r>
              <w:rPr>
                <w:rFonts w:hint="eastAsia" w:ascii="宋体" w:hAnsi="宋体" w:cs="宋体"/>
                <w:kern w:val="0"/>
                <w:szCs w:val="21"/>
              </w:rPr>
              <w:t>d.数据咨询：企业可支付一定费用，可在一个季度内随时查看其他企业的实时数据。</w:t>
            </w:r>
          </w:p>
          <w:p w14:paraId="12AA0693">
            <w:pPr>
              <w:widowControl/>
              <w:jc w:val="left"/>
              <w:rPr>
                <w:rFonts w:ascii="宋体" w:hAnsi="宋体" w:cs="宋体"/>
                <w:kern w:val="0"/>
                <w:szCs w:val="21"/>
              </w:rPr>
            </w:pPr>
            <w:r>
              <w:rPr>
                <w:rFonts w:hint="eastAsia" w:ascii="宋体" w:hAnsi="宋体" w:cs="宋体"/>
                <w:kern w:val="0"/>
                <w:szCs w:val="21"/>
              </w:rPr>
              <w:t>e.市场调研：以表单的形式展示经销商市场的市场需求量概况。</w:t>
            </w:r>
          </w:p>
          <w:p w14:paraId="6A254C15">
            <w:pPr>
              <w:widowControl/>
              <w:jc w:val="left"/>
              <w:rPr>
                <w:rFonts w:ascii="宋体" w:hAnsi="宋体" w:cs="宋体"/>
                <w:kern w:val="0"/>
                <w:szCs w:val="21"/>
              </w:rPr>
            </w:pPr>
            <w:r>
              <w:rPr>
                <w:rFonts w:hint="eastAsia" w:ascii="宋体" w:hAnsi="宋体" w:cs="宋体"/>
                <w:kern w:val="0"/>
                <w:szCs w:val="21"/>
              </w:rPr>
              <w:t>f.经营排行：每年结束后，展示经营成绩的排行，包含得分的细项分数。</w:t>
            </w:r>
          </w:p>
          <w:p w14:paraId="75E46E08">
            <w:pPr>
              <w:widowControl/>
              <w:jc w:val="left"/>
              <w:rPr>
                <w:rFonts w:ascii="宋体" w:hAnsi="宋体" w:cs="宋体"/>
                <w:kern w:val="0"/>
                <w:szCs w:val="21"/>
              </w:rPr>
            </w:pPr>
            <w:r>
              <w:rPr>
                <w:rFonts w:hint="eastAsia" w:ascii="宋体" w:hAnsi="宋体" w:cs="宋体"/>
                <w:kern w:val="0"/>
                <w:szCs w:val="21"/>
              </w:rPr>
              <w:t>②财务经理：</w:t>
            </w:r>
          </w:p>
          <w:p w14:paraId="1E8CD90D">
            <w:pPr>
              <w:widowControl/>
              <w:jc w:val="left"/>
              <w:rPr>
                <w:rFonts w:ascii="宋体" w:hAnsi="宋体" w:cs="宋体"/>
                <w:kern w:val="0"/>
                <w:szCs w:val="21"/>
              </w:rPr>
            </w:pPr>
            <w:r>
              <w:rPr>
                <w:rFonts w:hint="eastAsia" w:ascii="宋体" w:hAnsi="宋体" w:cs="宋体"/>
                <w:kern w:val="0"/>
                <w:szCs w:val="21"/>
              </w:rPr>
              <w:t>a.融资管理：财务经理岗位可以通过贷款进行企业的融资。</w:t>
            </w:r>
          </w:p>
          <w:p w14:paraId="7E2A3045">
            <w:pPr>
              <w:widowControl/>
              <w:jc w:val="left"/>
              <w:rPr>
                <w:rFonts w:ascii="宋体" w:hAnsi="宋体" w:cs="宋体"/>
                <w:kern w:val="0"/>
                <w:szCs w:val="21"/>
              </w:rPr>
            </w:pPr>
            <w:r>
              <w:rPr>
                <w:rFonts w:hint="eastAsia" w:ascii="宋体" w:hAnsi="宋体" w:cs="宋体"/>
                <w:kern w:val="0"/>
                <w:szCs w:val="21"/>
              </w:rPr>
              <w:t>b.应收账款管理：财务岗位对企业的应收账款进行管理，对企业的流动资金做收款计划以及贴现活动。</w:t>
            </w:r>
          </w:p>
          <w:p w14:paraId="5CCE9F8D">
            <w:pPr>
              <w:widowControl/>
              <w:jc w:val="left"/>
              <w:rPr>
                <w:rFonts w:ascii="宋体" w:hAnsi="宋体" w:cs="宋体"/>
                <w:kern w:val="0"/>
                <w:szCs w:val="21"/>
              </w:rPr>
            </w:pPr>
            <w:r>
              <w:rPr>
                <w:rFonts w:hint="eastAsia" w:ascii="宋体" w:hAnsi="宋体" w:cs="宋体"/>
                <w:kern w:val="0"/>
                <w:szCs w:val="21"/>
              </w:rPr>
              <w:t>c.应付账款管理：财务岗位对企业的应付账款进行管理，制定全年的付款计划。</w:t>
            </w:r>
          </w:p>
          <w:p w14:paraId="3A553D20">
            <w:pPr>
              <w:widowControl/>
              <w:jc w:val="left"/>
              <w:rPr>
                <w:rFonts w:ascii="宋体" w:hAnsi="宋体" w:cs="宋体"/>
                <w:kern w:val="0"/>
                <w:szCs w:val="21"/>
              </w:rPr>
            </w:pPr>
            <w:r>
              <w:rPr>
                <w:rFonts w:hint="eastAsia" w:ascii="宋体" w:hAnsi="宋体" w:cs="宋体"/>
                <w:kern w:val="0"/>
                <w:szCs w:val="21"/>
              </w:rPr>
              <w:t>d.费用管理：财务岗位对企业的一些费用的管理，包括管理用以及贷款的本金及利息。</w:t>
            </w:r>
          </w:p>
          <w:p w14:paraId="59D84C05">
            <w:pPr>
              <w:widowControl/>
              <w:jc w:val="left"/>
              <w:rPr>
                <w:rFonts w:ascii="宋体" w:hAnsi="宋体" w:cs="宋体"/>
                <w:kern w:val="0"/>
                <w:szCs w:val="21"/>
              </w:rPr>
            </w:pPr>
            <w:r>
              <w:rPr>
                <w:rFonts w:hint="eastAsia" w:ascii="宋体" w:hAnsi="宋体" w:cs="宋体"/>
                <w:kern w:val="0"/>
                <w:szCs w:val="21"/>
              </w:rPr>
              <w:t>e.报表管理：填写并展示企业的三大报表，包括资产负债表，利润表和综合表，填报后系统会自动根据正确数据进行甄别判断并返回甄别结果。</w:t>
            </w:r>
          </w:p>
          <w:p w14:paraId="238CEB39">
            <w:pPr>
              <w:widowControl/>
              <w:jc w:val="left"/>
              <w:rPr>
                <w:rFonts w:ascii="宋体" w:hAnsi="宋体" w:cs="宋体"/>
                <w:kern w:val="0"/>
                <w:szCs w:val="21"/>
              </w:rPr>
            </w:pPr>
            <w:r>
              <w:rPr>
                <w:rFonts w:hint="eastAsia" w:ascii="宋体" w:hAnsi="宋体" w:cs="宋体"/>
                <w:kern w:val="0"/>
                <w:szCs w:val="21"/>
              </w:rPr>
              <w:t>③运营经理：</w:t>
            </w:r>
          </w:p>
          <w:p w14:paraId="6FE697DA">
            <w:pPr>
              <w:widowControl/>
              <w:jc w:val="left"/>
              <w:rPr>
                <w:rFonts w:ascii="宋体" w:hAnsi="宋体" w:cs="宋体"/>
                <w:kern w:val="0"/>
                <w:szCs w:val="21"/>
              </w:rPr>
            </w:pPr>
            <w:r>
              <w:rPr>
                <w:rFonts w:hint="eastAsia" w:ascii="宋体" w:hAnsi="宋体" w:cs="宋体"/>
                <w:kern w:val="0"/>
                <w:szCs w:val="21"/>
              </w:rPr>
              <w:t>a.设备管理：运营经理要统筹企业中的全部生产设备，新增和删减，维修等等。生产线有不同的类型，不同的产能以及价格，其要根据企业的现状使用符合情况的生产线。通过合理排产，支持企业的销售业务。</w:t>
            </w:r>
          </w:p>
          <w:p w14:paraId="304EA60D">
            <w:pPr>
              <w:widowControl/>
              <w:jc w:val="left"/>
              <w:rPr>
                <w:rFonts w:ascii="宋体" w:hAnsi="宋体" w:cs="宋体"/>
                <w:kern w:val="0"/>
                <w:szCs w:val="21"/>
              </w:rPr>
            </w:pPr>
            <w:r>
              <w:rPr>
                <w:rFonts w:hint="eastAsia" w:ascii="宋体" w:hAnsi="宋体" w:cs="宋体"/>
                <w:kern w:val="0"/>
                <w:szCs w:val="21"/>
              </w:rPr>
              <w:t>b.库存管理：运营经理肩负着为企业的生产行为提供原材料的责任。根据生产计划制定原料需求计划，根据计划以及采购流程，按期预定原材料，保障生产的进行。生产线生产出产品后，产品将进入到产品库，运营经理也要对其进行管理，对于库存积压或不足的行为，需要予以合理的排产。</w:t>
            </w:r>
          </w:p>
          <w:p w14:paraId="5C6D934B">
            <w:pPr>
              <w:widowControl/>
              <w:jc w:val="left"/>
              <w:rPr>
                <w:rFonts w:ascii="宋体" w:hAnsi="宋体" w:cs="宋体"/>
                <w:kern w:val="0"/>
                <w:szCs w:val="21"/>
              </w:rPr>
            </w:pPr>
            <w:r>
              <w:rPr>
                <w:rFonts w:hint="eastAsia" w:ascii="宋体" w:hAnsi="宋体" w:cs="宋体"/>
                <w:kern w:val="0"/>
                <w:szCs w:val="21"/>
              </w:rPr>
              <w:t>c.智能生产：开启智能生产后，系统会根据算法，自动以最优的组合给企业里的所有生产线排产，并且系统会自动去供应商购买原材料。</w:t>
            </w:r>
          </w:p>
          <w:p w14:paraId="6A3572C0">
            <w:pPr>
              <w:widowControl/>
              <w:jc w:val="left"/>
              <w:rPr>
                <w:rFonts w:ascii="宋体" w:hAnsi="宋体" w:cs="宋体"/>
                <w:kern w:val="0"/>
                <w:szCs w:val="21"/>
              </w:rPr>
            </w:pPr>
            <w:r>
              <w:rPr>
                <w:rFonts w:hint="eastAsia" w:ascii="宋体" w:hAnsi="宋体" w:cs="宋体"/>
                <w:kern w:val="0"/>
                <w:szCs w:val="21"/>
              </w:rPr>
              <w:t>d.生产大数据：开启后，系统会自动的爬取其他竞争对手的数据，进行挖掘清洗后，形成看板，展示给学生。学生可以在看板上自选数据，DIY适合自身企业现状的大数据看板。</w:t>
            </w:r>
          </w:p>
          <w:p w14:paraId="279A9FDA">
            <w:pPr>
              <w:widowControl/>
              <w:jc w:val="left"/>
              <w:rPr>
                <w:rFonts w:ascii="宋体" w:hAnsi="宋体" w:cs="宋体"/>
                <w:kern w:val="0"/>
                <w:szCs w:val="21"/>
              </w:rPr>
            </w:pPr>
            <w:r>
              <w:rPr>
                <w:rFonts w:hint="eastAsia" w:ascii="宋体" w:hAnsi="宋体" w:cs="宋体"/>
                <w:kern w:val="0"/>
                <w:szCs w:val="21"/>
              </w:rPr>
              <w:t>④销售经理：</w:t>
            </w:r>
          </w:p>
          <w:p w14:paraId="48F5C2B0">
            <w:pPr>
              <w:widowControl/>
              <w:jc w:val="left"/>
              <w:rPr>
                <w:rFonts w:ascii="宋体" w:hAnsi="宋体" w:cs="宋体"/>
                <w:kern w:val="0"/>
                <w:szCs w:val="21"/>
              </w:rPr>
            </w:pPr>
            <w:r>
              <w:rPr>
                <w:rFonts w:hint="eastAsia" w:ascii="宋体" w:hAnsi="宋体" w:cs="宋体"/>
                <w:kern w:val="0"/>
                <w:szCs w:val="21"/>
              </w:rPr>
              <w:t>a.渠道管理：销售经理负责开拓企业的销售渠道，需制定渠道计划。</w:t>
            </w:r>
          </w:p>
          <w:p w14:paraId="0CF95159">
            <w:pPr>
              <w:widowControl/>
              <w:jc w:val="left"/>
              <w:rPr>
                <w:rFonts w:ascii="宋体" w:hAnsi="宋体" w:cs="宋体"/>
                <w:kern w:val="0"/>
                <w:szCs w:val="21"/>
              </w:rPr>
            </w:pPr>
            <w:r>
              <w:rPr>
                <w:rFonts w:hint="eastAsia" w:ascii="宋体" w:hAnsi="宋体" w:cs="宋体"/>
                <w:kern w:val="0"/>
                <w:szCs w:val="21"/>
              </w:rPr>
              <w:t>b.产品管理：销售经理负责申报公司的生产资质和质量认证等手续。</w:t>
            </w:r>
          </w:p>
          <w:p w14:paraId="3AE3A180">
            <w:pPr>
              <w:widowControl/>
              <w:jc w:val="left"/>
              <w:rPr>
                <w:rFonts w:ascii="宋体" w:hAnsi="宋体" w:cs="宋体"/>
                <w:kern w:val="0"/>
                <w:szCs w:val="21"/>
              </w:rPr>
            </w:pPr>
            <w:r>
              <w:rPr>
                <w:rFonts w:hint="eastAsia" w:ascii="宋体" w:hAnsi="宋体" w:cs="宋体"/>
                <w:kern w:val="0"/>
                <w:szCs w:val="21"/>
              </w:rPr>
              <w:t>c.促销管理：销售经理根据市场分析的结果，选单细分市场，进行广告方式的促销管理。</w:t>
            </w:r>
          </w:p>
          <w:p w14:paraId="69599B86">
            <w:pPr>
              <w:widowControl/>
              <w:jc w:val="left"/>
              <w:rPr>
                <w:rFonts w:ascii="宋体" w:hAnsi="宋体" w:cs="宋体"/>
                <w:kern w:val="0"/>
                <w:szCs w:val="21"/>
              </w:rPr>
            </w:pPr>
            <w:r>
              <w:rPr>
                <w:rFonts w:hint="eastAsia" w:ascii="宋体" w:hAnsi="宋体" w:cs="宋体"/>
                <w:kern w:val="0"/>
                <w:szCs w:val="21"/>
              </w:rPr>
              <w:t>d.竞单管理：销售经理根据企业的战略，选择不同市场进行订单申报。</w:t>
            </w:r>
          </w:p>
          <w:p w14:paraId="107F7C36">
            <w:pPr>
              <w:widowControl/>
              <w:jc w:val="left"/>
              <w:rPr>
                <w:rFonts w:ascii="宋体" w:hAnsi="宋体" w:cs="宋体"/>
                <w:kern w:val="0"/>
                <w:szCs w:val="21"/>
              </w:rPr>
            </w:pPr>
            <w:r>
              <w:rPr>
                <w:rFonts w:hint="eastAsia" w:ascii="宋体" w:hAnsi="宋体" w:cs="宋体"/>
                <w:kern w:val="0"/>
                <w:szCs w:val="21"/>
              </w:rPr>
              <w:t>e.交付管理：销售经理根据企业申报获得的订单，根据企业的库存情况，进行产品交付，获取利润。</w:t>
            </w:r>
          </w:p>
          <w:p w14:paraId="6070873D">
            <w:pPr>
              <w:widowControl/>
              <w:jc w:val="left"/>
              <w:rPr>
                <w:rFonts w:ascii="宋体" w:hAnsi="宋体" w:cs="宋体"/>
                <w:kern w:val="0"/>
                <w:szCs w:val="21"/>
              </w:rPr>
            </w:pPr>
            <w:r>
              <w:rPr>
                <w:rFonts w:hint="eastAsia" w:ascii="宋体" w:hAnsi="宋体" w:cs="宋体"/>
                <w:kern w:val="0"/>
                <w:szCs w:val="21"/>
              </w:rPr>
              <w:t>四、平台技术要求：</w:t>
            </w:r>
          </w:p>
          <w:p w14:paraId="749F301C">
            <w:pPr>
              <w:widowControl/>
              <w:jc w:val="left"/>
              <w:rPr>
                <w:rFonts w:ascii="宋体" w:hAnsi="宋体" w:cs="宋体"/>
                <w:kern w:val="0"/>
                <w:szCs w:val="21"/>
              </w:rPr>
            </w:pPr>
            <w:r>
              <w:rPr>
                <w:rFonts w:hint="eastAsia" w:ascii="宋体" w:hAnsi="宋体" w:cs="宋体"/>
                <w:kern w:val="0"/>
                <w:szCs w:val="21"/>
              </w:rPr>
              <w:t>1.整体采用前后端分离和分布式微服务的弹性技术架构，具有可扩展性；后端主要基于Java的Spring cloud，前端基于NodeJS+Dva+Umi+React+TS；数据库采用Mysql，缓存使用Redis对数据进行缓存，支持高并发、纯本地化数据源；可公有云、私有云部署，兼容Window和Linux等操作系统，程序提供了Window快速安装程序。</w:t>
            </w:r>
          </w:p>
          <w:p w14:paraId="4003E6E8">
            <w:pPr>
              <w:widowControl/>
              <w:jc w:val="left"/>
              <w:rPr>
                <w:rFonts w:ascii="宋体" w:hAnsi="宋体" w:cs="宋体"/>
                <w:kern w:val="0"/>
                <w:szCs w:val="21"/>
              </w:rPr>
            </w:pPr>
            <w:r>
              <w:rPr>
                <w:rFonts w:hint="eastAsia" w:ascii="宋体" w:hAnsi="宋体" w:cs="宋体"/>
                <w:kern w:val="0"/>
                <w:szCs w:val="21"/>
              </w:rPr>
              <w:t>2.基础服务层支持用户/鉴权服务、资源存储服务、WebSocket服务；内置智能的生产经营模拟算法，能自动采集数据，输出指定的模型数据以及计算经过；具备安全特性，符合密码强度规则；具备安全的API接口校验规则。</w:t>
            </w:r>
          </w:p>
          <w:p w14:paraId="4D27E781">
            <w:pPr>
              <w:widowControl/>
              <w:jc w:val="left"/>
              <w:rPr>
                <w:rFonts w:hint="eastAsia" w:ascii="宋体" w:hAnsi="宋体" w:cs="宋体"/>
                <w:kern w:val="0"/>
                <w:szCs w:val="21"/>
              </w:rPr>
            </w:pPr>
            <w:r>
              <w:rPr>
                <w:rFonts w:hint="eastAsia" w:ascii="宋体" w:hAnsi="宋体" w:cs="宋体"/>
                <w:kern w:val="0"/>
                <w:szCs w:val="21"/>
              </w:rPr>
              <w:t>3.平台软件同时在线人数60个站点，平台软件提供</w:t>
            </w:r>
            <w:r>
              <w:rPr>
                <w:rFonts w:hint="eastAsia" w:ascii="宋体" w:hAnsi="宋体" w:cs="宋体"/>
                <w:kern w:val="0"/>
                <w:szCs w:val="21"/>
                <w:highlight w:val="none"/>
                <w:lang w:val="en-US" w:eastAsia="zh-CN"/>
              </w:rPr>
              <w:t>同版本</w:t>
            </w:r>
            <w:r>
              <w:rPr>
                <w:rFonts w:hint="eastAsia" w:ascii="宋体" w:hAnsi="宋体" w:cs="宋体"/>
                <w:kern w:val="0"/>
                <w:szCs w:val="21"/>
              </w:rPr>
              <w:t>五年免费升级。</w:t>
            </w:r>
          </w:p>
          <w:p w14:paraId="08766609">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4.服务支持：省市竞赛辅导，教材共建1册，核心资源教学案例共建5个。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1B73774">
            <w:pPr>
              <w:jc w:val="center"/>
              <w:rPr>
                <w:rFonts w:ascii="宋体" w:hAnsi="宋体" w:cs="宋体"/>
                <w:szCs w:val="21"/>
              </w:rPr>
            </w:pPr>
            <w:r>
              <w:rPr>
                <w:rFonts w:hint="eastAsia" w:ascii="宋体" w:hAnsi="宋体"/>
                <w:szCs w:val="21"/>
              </w:rPr>
              <w:t>1</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647FA046">
            <w:pPr>
              <w:jc w:val="center"/>
              <w:rPr>
                <w:rFonts w:ascii="宋体" w:hAnsi="宋体" w:cs="宋体"/>
                <w:szCs w:val="21"/>
              </w:rPr>
            </w:pPr>
            <w:r>
              <w:rPr>
                <w:rFonts w:hint="eastAsia" w:ascii="宋体" w:hAnsi="宋体"/>
                <w:szCs w:val="21"/>
              </w:rPr>
              <w:t>套</w:t>
            </w:r>
          </w:p>
        </w:tc>
      </w:tr>
    </w:tbl>
    <w:p w14:paraId="38474087">
      <w:pPr>
        <w:jc w:val="left"/>
        <w:rPr>
          <w:rFonts w:hint="eastAsia" w:ascii="宋体" w:hAnsi="宋体"/>
          <w:b/>
          <w:sz w:val="30"/>
          <w:szCs w:val="30"/>
        </w:rPr>
      </w:pPr>
    </w:p>
    <w:p w14:paraId="7E164037">
      <w:pPr>
        <w:jc w:val="left"/>
        <w:rPr>
          <w:rFonts w:hint="eastAsia" w:ascii="宋体" w:hAnsi="宋体"/>
          <w:b/>
          <w:sz w:val="30"/>
          <w:szCs w:val="30"/>
        </w:rPr>
      </w:pPr>
    </w:p>
    <w:p w14:paraId="1F8DB119">
      <w:pPr>
        <w:jc w:val="left"/>
        <w:rPr>
          <w:rFonts w:hint="eastAsia" w:ascii="宋体" w:hAnsi="宋体"/>
          <w:b/>
          <w:sz w:val="30"/>
          <w:szCs w:val="30"/>
        </w:rPr>
      </w:pPr>
    </w:p>
    <w:p w14:paraId="2A3E1F67">
      <w:pPr>
        <w:jc w:val="left"/>
        <w:rPr>
          <w:rFonts w:hint="eastAsia" w:ascii="宋体" w:hAnsi="宋体"/>
          <w:b/>
          <w:sz w:val="30"/>
          <w:szCs w:val="30"/>
        </w:rPr>
      </w:pPr>
    </w:p>
    <w:p w14:paraId="2FEDEF71">
      <w:pPr>
        <w:jc w:val="left"/>
        <w:rPr>
          <w:rFonts w:ascii="宋体" w:hAnsi="宋体"/>
          <w:b/>
          <w:sz w:val="32"/>
          <w:szCs w:val="32"/>
        </w:rPr>
      </w:pPr>
      <w:r>
        <w:rPr>
          <w:rFonts w:hint="eastAsia" w:ascii="宋体" w:hAnsi="宋体"/>
          <w:b/>
          <w:bCs w:val="0"/>
          <w:sz w:val="28"/>
          <w:szCs w:val="28"/>
        </w:rPr>
        <w:t xml:space="preserve">附件二 </w:t>
      </w:r>
      <w:r>
        <w:rPr>
          <w:rFonts w:hint="eastAsia" w:ascii="宋体" w:hAnsi="宋体" w:cs="宋体"/>
          <w:b/>
          <w:bCs w:val="0"/>
          <w:color w:val="000000"/>
          <w:kern w:val="0"/>
          <w:sz w:val="28"/>
          <w:szCs w:val="28"/>
          <w:lang w:bidi="ar"/>
        </w:rPr>
        <w:t>《</w:t>
      </w:r>
      <w:r>
        <w:rPr>
          <w:rFonts w:hint="eastAsia" w:ascii="宋体" w:hAnsi="宋体"/>
          <w:b/>
          <w:bCs w:val="0"/>
          <w:sz w:val="28"/>
          <w:szCs w:val="28"/>
        </w:rPr>
        <w:t>技术参数要求</w:t>
      </w:r>
      <w:r>
        <w:rPr>
          <w:rFonts w:hint="eastAsia" w:ascii="宋体" w:hAnsi="宋体" w:cs="宋体"/>
          <w:b/>
          <w:bCs w:val="0"/>
          <w:color w:val="000000"/>
          <w:kern w:val="0"/>
          <w:sz w:val="28"/>
          <w:szCs w:val="28"/>
          <w:lang w:bidi="ar"/>
        </w:rPr>
        <w:t>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633"/>
        <w:gridCol w:w="4541"/>
        <w:gridCol w:w="1115"/>
        <w:gridCol w:w="1042"/>
      </w:tblGrid>
      <w:tr w14:paraId="467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3BE4835F">
            <w:pPr>
              <w:spacing w:line="400" w:lineRule="exact"/>
              <w:jc w:val="center"/>
              <w:rPr>
                <w:rFonts w:ascii="宋体" w:hAnsi="宋体"/>
                <w:b/>
                <w:szCs w:val="21"/>
              </w:rPr>
            </w:pPr>
            <w:r>
              <w:rPr>
                <w:rFonts w:hint="eastAsia" w:ascii="宋体" w:hAnsi="宋体"/>
                <w:b/>
                <w:szCs w:val="21"/>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B83BC62">
            <w:pPr>
              <w:spacing w:line="400" w:lineRule="exact"/>
              <w:jc w:val="center"/>
              <w:rPr>
                <w:rFonts w:ascii="宋体" w:hAnsi="宋体"/>
                <w:b/>
                <w:szCs w:val="21"/>
              </w:rPr>
            </w:pPr>
            <w:r>
              <w:rPr>
                <w:rFonts w:hint="eastAsia" w:ascii="宋体" w:hAnsi="宋体"/>
                <w:b/>
                <w:szCs w:val="21"/>
              </w:rPr>
              <w:t>设备名称</w:t>
            </w:r>
          </w:p>
        </w:tc>
        <w:tc>
          <w:tcPr>
            <w:tcW w:w="4541" w:type="dxa"/>
            <w:tcBorders>
              <w:top w:val="single" w:color="auto" w:sz="4" w:space="0"/>
              <w:left w:val="single" w:color="auto" w:sz="4" w:space="0"/>
              <w:bottom w:val="single" w:color="auto" w:sz="4" w:space="0"/>
              <w:right w:val="single" w:color="auto" w:sz="4" w:space="0"/>
            </w:tcBorders>
            <w:noWrap w:val="0"/>
            <w:vAlign w:val="center"/>
          </w:tcPr>
          <w:p w14:paraId="1A528F5C">
            <w:pPr>
              <w:spacing w:line="400" w:lineRule="exact"/>
              <w:jc w:val="center"/>
              <w:rPr>
                <w:rFonts w:ascii="宋体" w:hAnsi="宋体"/>
                <w:b/>
                <w:szCs w:val="21"/>
              </w:rPr>
            </w:pPr>
            <w:r>
              <w:rPr>
                <w:rFonts w:hint="eastAsia" w:ascii="宋体" w:hAnsi="宋体"/>
                <w:b/>
                <w:szCs w:val="21"/>
              </w:rPr>
              <w:t>技术参数要求</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7622EFA">
            <w:pPr>
              <w:spacing w:line="400" w:lineRule="exact"/>
              <w:jc w:val="center"/>
              <w:rPr>
                <w:rFonts w:ascii="宋体" w:hAnsi="宋体"/>
                <w:b/>
                <w:szCs w:val="21"/>
              </w:rPr>
            </w:pPr>
            <w:r>
              <w:rPr>
                <w:rFonts w:hint="eastAsia" w:ascii="宋体" w:hAnsi="宋体"/>
                <w:b/>
                <w:szCs w:val="21"/>
              </w:rPr>
              <w:t>单位</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16699E2">
            <w:pPr>
              <w:spacing w:line="400" w:lineRule="exact"/>
              <w:jc w:val="center"/>
              <w:rPr>
                <w:rFonts w:ascii="宋体" w:hAnsi="宋体"/>
                <w:b/>
                <w:szCs w:val="21"/>
              </w:rPr>
            </w:pPr>
            <w:r>
              <w:rPr>
                <w:rFonts w:hint="eastAsia" w:ascii="宋体" w:hAnsi="宋体"/>
                <w:b/>
                <w:szCs w:val="21"/>
              </w:rPr>
              <w:t>备注</w:t>
            </w:r>
          </w:p>
        </w:tc>
      </w:tr>
      <w:tr w14:paraId="11DF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7F2999CF">
            <w:pPr>
              <w:widowControl/>
              <w:numPr>
                <w:ilvl w:val="0"/>
                <w:numId w:val="0"/>
              </w:numPr>
              <w:spacing w:line="400" w:lineRule="exact"/>
              <w:ind w:leftChars="0"/>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C094B85">
            <w:pPr>
              <w:widowControl/>
              <w:jc w:val="center"/>
              <w:rPr>
                <w:rFonts w:hint="eastAsia" w:ascii="宋体" w:hAnsi="宋体" w:eastAsia="宋体" w:cs="宋体"/>
                <w:kern w:val="0"/>
                <w:sz w:val="24"/>
                <w:szCs w:val="22"/>
                <w:lang w:val="en-US" w:eastAsia="zh-CN" w:bidi="ar-SA"/>
              </w:rPr>
            </w:pPr>
            <w:r>
              <w:rPr>
                <w:rFonts w:hint="eastAsia"/>
              </w:rPr>
              <w:t>数字化资源库系统</w:t>
            </w:r>
          </w:p>
        </w:tc>
        <w:tc>
          <w:tcPr>
            <w:tcW w:w="4541" w:type="dxa"/>
            <w:tcBorders>
              <w:top w:val="single" w:color="auto" w:sz="4" w:space="0"/>
              <w:left w:val="single" w:color="auto" w:sz="4" w:space="0"/>
              <w:bottom w:val="single" w:color="auto" w:sz="4" w:space="0"/>
              <w:right w:val="single" w:color="auto" w:sz="4" w:space="0"/>
            </w:tcBorders>
            <w:noWrap w:val="0"/>
            <w:vAlign w:val="center"/>
          </w:tcPr>
          <w:p w14:paraId="069D94D2">
            <w:pPr>
              <w:rPr>
                <w:rFonts w:hint="eastAsia" w:ascii="宋体" w:hAnsi="宋体" w:eastAsia="宋体" w:cs="宋体"/>
              </w:rPr>
            </w:pPr>
            <w:r>
              <w:rPr>
                <w:rFonts w:hint="eastAsia" w:ascii="宋体" w:hAnsi="宋体" w:eastAsia="宋体" w:cs="宋体"/>
              </w:rPr>
              <w:t>1、财务共享业务处理题库</w:t>
            </w:r>
          </w:p>
          <w:p w14:paraId="5AD19094">
            <w:pPr>
              <w:rPr>
                <w:rFonts w:hint="eastAsia" w:ascii="宋体" w:hAnsi="宋体" w:eastAsia="宋体" w:cs="宋体"/>
              </w:rPr>
            </w:pPr>
            <w:r>
              <w:rPr>
                <w:rFonts w:hint="eastAsia" w:ascii="宋体" w:hAnsi="宋体" w:eastAsia="宋体" w:cs="宋体"/>
              </w:rPr>
              <w:t>题库试题涵盖出纳业务处理、电子票据处理、购销存及差旅业务处理、总账业务处理、薪税业务处理、固定资产业务处理、期末会计事项处理和报表等业务知识点。每套资源包含票据处理岗、业务财务岗、总账会计岗、财务主管岗，根据给定的企业背景资料和经营管理目标，运用真实仿真操作环境进行业务处理。</w:t>
            </w:r>
          </w:p>
          <w:p w14:paraId="6574A082">
            <w:pPr>
              <w:rPr>
                <w:rFonts w:hint="eastAsia" w:ascii="宋体" w:hAnsi="宋体" w:eastAsia="宋体" w:cs="宋体"/>
              </w:rPr>
            </w:pPr>
            <w:r>
              <w:rPr>
                <w:rFonts w:hint="eastAsia" w:ascii="宋体" w:hAnsi="宋体" w:eastAsia="宋体" w:cs="宋体"/>
              </w:rPr>
              <w:t>2、纳税事务处理题库</w:t>
            </w:r>
          </w:p>
          <w:p w14:paraId="6F00B7F7">
            <w:pPr>
              <w:rPr>
                <w:rFonts w:hint="eastAsia" w:ascii="宋体" w:hAnsi="宋体" w:eastAsia="宋体" w:cs="宋体"/>
              </w:rPr>
            </w:pPr>
            <w:r>
              <w:rPr>
                <w:rFonts w:hint="eastAsia" w:ascii="宋体" w:hAnsi="宋体" w:eastAsia="宋体" w:cs="宋体"/>
              </w:rPr>
              <w:t>题库试题涵盖智能化发票开具，增值税及附加税申报，企业所得税纳税申报等业务知识点。每套资源包含维护纳税主体信息、购货方单位信息、商品与服务档案信息等。发票开具、发票查询与统计、发票勾选与认证；对生成的增值税及附加税费申报表等纳税申报主表与附表数据内容进行审核，并进行当月的纳税申报；对生成的居民企业（查账征收）所得税月（季）度预缴纳税申报表或年度纳税申报主表与附表数据内容进行审核，并进行当月（季）或年度的纳税申报。</w:t>
            </w:r>
          </w:p>
          <w:p w14:paraId="40228A38">
            <w:pPr>
              <w:rPr>
                <w:rFonts w:hint="eastAsia" w:ascii="宋体" w:hAnsi="宋体" w:eastAsia="宋体" w:cs="宋体"/>
              </w:rPr>
            </w:pPr>
            <w:r>
              <w:rPr>
                <w:rFonts w:hint="eastAsia" w:ascii="宋体" w:hAnsi="宋体" w:eastAsia="宋体" w:cs="宋体"/>
              </w:rPr>
              <w:t>3、财务数据分析竞赛题库</w:t>
            </w:r>
          </w:p>
          <w:p w14:paraId="5E443492">
            <w:pPr>
              <w:rPr>
                <w:rFonts w:hint="eastAsia" w:ascii="宋体" w:hAnsi="宋体" w:eastAsia="宋体" w:cs="宋体"/>
                <w:szCs w:val="21"/>
              </w:rPr>
            </w:pPr>
            <w:r>
              <w:rPr>
                <w:rFonts w:hint="eastAsia" w:ascii="宋体" w:hAnsi="宋体" w:eastAsia="宋体" w:cs="宋体"/>
              </w:rPr>
              <w:t>题库试题涵盖数据管理基本知识和素养、业务数据分析和财务报表分析等业务知识点。每套资源通过业务案例考察选手数据管理基本知识和素养。提供企业业务案例及相关数据，结合电子表格平台完成企业采购业务、销售业务的分析，并进行可视化呈现。结合财务报表及相关行业数据资料，完成资产负债表、利润表主要报表项目结构及趋势变动分析，以及盈利能力指标计算与对比分析、营运能力指标计算与对比分析、偿债能力指标计算与对比分析、发展能力指标计算与对比分析等方面技能操作。</w:t>
            </w:r>
          </w:p>
          <w:p w14:paraId="5FAEA275">
            <w:pPr>
              <w:rPr>
                <w:rFonts w:hint="eastAsia" w:ascii="宋体" w:hAnsi="宋体" w:eastAsia="宋体" w:cs="宋体"/>
              </w:rPr>
            </w:pPr>
            <w:r>
              <w:rPr>
                <w:rFonts w:hint="eastAsia" w:ascii="宋体" w:hAnsi="宋体" w:eastAsia="宋体" w:cs="宋体"/>
              </w:rPr>
              <w:t>1）每套试题支持综合实训和单项练习两种使用方式，支持常见的浏览器访问，不限制人数，不安装任何第三方插件。</w:t>
            </w:r>
          </w:p>
          <w:p w14:paraId="49CFEC21">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）支持练习资源以线上实训的方式呈现，提供实训手册，学生在实训过程中可以查阅，有问题时通过在线问答进行求助，实训结束后通过实训报告查看实训结果，系统自动评判给出技能点得分情况；</w:t>
            </w:r>
          </w:p>
          <w:p w14:paraId="57A0CB9E">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）支持在实训手册中插入操作视频，能够满足学生可以根据操作视频学习实训具体操作；</w:t>
            </w:r>
          </w:p>
          <w:p w14:paraId="4305A496">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）支持实训结果自动评判，反馈判分项目、明细，标准值/用户值对比、及操作结果详情；</w:t>
            </w:r>
          </w:p>
          <w:p w14:paraId="0C315E47">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）支持教师端控制实训资源一键启停；</w:t>
            </w:r>
          </w:p>
          <w:p w14:paraId="44AE8BBE">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）支持教师监控全体学生实训的进度，答题详情等内容，学生实训后教师能实时查看数据进行互动；</w:t>
            </w:r>
          </w:p>
          <w:p w14:paraId="46ECC1AC">
            <w:pP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）系统支持以技能点为基础数据采集项对学生的实操结果进行统计，能够形成含实训内容、实训目标、完成状态、问题列表和过程记录的分析报告；</w:t>
            </w:r>
          </w:p>
          <w:p w14:paraId="2C6E4794">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）支持一张试卷呈现理论题（单选题，多选题，判断题，填空题，简答题）和电子表格操作题，对试卷中所有题型能够进行自动判分；</w:t>
            </w:r>
          </w:p>
          <w:p w14:paraId="3174B17B">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）支持题库试题自动查重，多套试卷自动查重试题；</w:t>
            </w:r>
          </w:p>
          <w:p w14:paraId="137D2352">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）支持老师随时推送模拟试卷，满足老师个性化日常教学活动、学生课上实训练习；</w:t>
            </w:r>
          </w:p>
          <w:p w14:paraId="309FEF29">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）具有题库按章节组卷，题库随机考试。支持设置千人千卷的大题库随机考试；</w:t>
            </w:r>
          </w:p>
          <w:p w14:paraId="2B3E77F7">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）支持院校在期中、期末、大赛等多种场景进行创建考试，能够实现考中监控，考后数据归档；</w:t>
            </w:r>
          </w:p>
          <w:p w14:paraId="24FA7834">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）支持考试过程防作弊，开启防作弊可以自主选择屏蔽第三方应用、上网和切换窗口等违规操作；</w:t>
            </w:r>
          </w:p>
          <w:p w14:paraId="1EA6AF8A">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）支持考试延时功能。支持设置批量或指定特殊人群的提前或延长考试时间、取消误交卷状态；</w:t>
            </w:r>
          </w:p>
          <w:p w14:paraId="4037797E">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）提供人脸识别开启考试功能；支持考生证件图片与本人进行识别，人脸识别通过后自动开启考试；</w:t>
            </w:r>
          </w:p>
          <w:p w14:paraId="6DF12916">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）提供专用考试浏览器，支持考试过程中通过人脸识别技术自动抓屏并拍照；</w:t>
            </w:r>
          </w:p>
          <w:p w14:paraId="524650A6">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）考试归档功能。归档后系统自动生成考试计划，试卷，及所有考生答题详情等数据，方便留档备查；</w:t>
            </w:r>
          </w:p>
          <w:p w14:paraId="1AD2B97E">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）支持对多场考试数据进行合并后自动生成整体的考试统计分析数据，自定义考试报告；</w:t>
            </w:r>
          </w:p>
          <w:p w14:paraId="6E4845C9">
            <w:pPr>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）支持将考试数据生成PDF，Excel分析报告，并可以一键导出；</w:t>
            </w:r>
          </w:p>
          <w:p w14:paraId="3FDA87B4">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）支持教师查看统计分析报告，可以查看考试报告、试卷分析、班级分析和学生分析；</w:t>
            </w:r>
          </w:p>
          <w:p w14:paraId="183D0EFF">
            <w:pPr>
              <w:rPr>
                <w:rFonts w:hint="eastAsia" w:ascii="宋体" w:hAnsi="宋体" w:eastAsia="宋体" w:cs="宋体"/>
                <w:kern w:val="0"/>
                <w:sz w:val="21"/>
                <w:szCs w:val="21"/>
                <w:lang w:val="en-US" w:eastAsia="zh-CN" w:bidi="ar-SA"/>
              </w:rPr>
            </w:pP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）支持教师对班级和学生进行管理，能够一键上传学生信息并自动生成班级信息；</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72F25D1">
            <w:pPr>
              <w:jc w:val="center"/>
              <w:rPr>
                <w:rFonts w:ascii="宋体" w:hAnsi="宋体" w:cs="宋体"/>
                <w:color w:val="000000"/>
                <w:szCs w:val="21"/>
              </w:rPr>
            </w:pPr>
            <w:r>
              <w:rPr>
                <w:rFonts w:hint="eastAsia" w:ascii="宋体" w:hAnsi="宋体"/>
                <w:color w:val="000000"/>
                <w:szCs w:val="21"/>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9EC28F9">
            <w:pPr>
              <w:spacing w:line="400" w:lineRule="exact"/>
              <w:jc w:val="center"/>
              <w:rPr>
                <w:rFonts w:ascii="宋体" w:hAnsi="宋体"/>
                <w:szCs w:val="21"/>
              </w:rPr>
            </w:pPr>
          </w:p>
        </w:tc>
      </w:tr>
      <w:bookmarkEnd w:id="5"/>
      <w:bookmarkEnd w:id="6"/>
    </w:tbl>
    <w:p w14:paraId="0E5F5CF9">
      <w:pPr>
        <w:pStyle w:val="34"/>
        <w:ind w:left="0" w:leftChars="0" w:firstLine="0" w:firstLineChars="0"/>
        <w:rPr>
          <w:rFonts w:cs="Times New Roman"/>
          <w:sz w:val="18"/>
          <w:szCs w:val="18"/>
        </w:rPr>
      </w:pPr>
    </w:p>
    <w:p w14:paraId="0969E9EA">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14:paraId="30D89CEA">
      <w:pPr>
        <w:pStyle w:val="17"/>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14:paraId="1E8B3D32">
      <w:pPr>
        <w:numPr>
          <w:ilvl w:val="0"/>
          <w:numId w:val="6"/>
        </w:numPr>
        <w:tabs>
          <w:tab w:val="left" w:pos="360"/>
        </w:tabs>
        <w:adjustRightInd w:val="0"/>
        <w:snapToGrid w:val="0"/>
        <w:spacing w:line="360" w:lineRule="auto"/>
        <w:ind w:firstLine="420" w:firstLineChars="200"/>
        <w:rPr>
          <w:rFonts w:ascii="宋体" w:cs="Times New Roman"/>
          <w:highlight w:val="none"/>
        </w:rPr>
      </w:pPr>
      <w:r>
        <w:rPr>
          <w:rFonts w:hint="eastAsia" w:ascii="宋体" w:hAnsi="宋体" w:cs="宋体"/>
          <w:highlight w:val="none"/>
        </w:rPr>
        <w:t>本项目质量保修期（简称“质保期”）为</w:t>
      </w:r>
      <w:r>
        <w:rPr>
          <w:rFonts w:ascii="宋体" w:hAnsi="宋体" w:cs="宋体"/>
          <w:highlight w:val="none"/>
        </w:rPr>
        <w:t>1</w:t>
      </w:r>
      <w:r>
        <w:rPr>
          <w:rFonts w:hint="eastAsia" w:ascii="宋体" w:hAnsi="宋体" w:cs="宋体"/>
          <w:highlight w:val="none"/>
        </w:rPr>
        <w:t>年，技术参数有规定的以技术参数为准，质保期内成交供应商实行包修、包换、包退、包维护保养，期满后可同时提供终身有偿维修保养服务。</w:t>
      </w:r>
    </w:p>
    <w:p w14:paraId="3C8D897E">
      <w:pPr>
        <w:numPr>
          <w:ilvl w:val="0"/>
          <w:numId w:val="6"/>
        </w:numPr>
        <w:tabs>
          <w:tab w:val="left" w:pos="360"/>
        </w:tabs>
        <w:adjustRightInd w:val="0"/>
        <w:snapToGrid w:val="0"/>
        <w:spacing w:line="360" w:lineRule="auto"/>
        <w:ind w:firstLine="420" w:firstLineChars="200"/>
      </w:pPr>
      <w:r>
        <w:rPr>
          <w:rFonts w:hint="eastAsia" w:ascii="宋体" w:hAnsi="宋体" w:cs="宋体"/>
          <w:highlight w:val="none"/>
        </w:rPr>
        <w:t>对采购人的服务通知，成交供应商在接报后</w:t>
      </w:r>
      <w:r>
        <w:rPr>
          <w:rFonts w:ascii="宋体" w:hAnsi="宋体" w:cs="宋体"/>
          <w:highlight w:val="none"/>
        </w:rPr>
        <w:t>1</w:t>
      </w:r>
      <w:r>
        <w:rPr>
          <w:rFonts w:hint="eastAsia" w:ascii="宋体" w:hAnsi="宋体" w:cs="宋体"/>
          <w:highlight w:val="none"/>
        </w:rPr>
        <w:t>小时内响应，</w:t>
      </w:r>
      <w:r>
        <w:rPr>
          <w:rFonts w:ascii="宋体" w:hAnsi="宋体" w:cs="宋体"/>
          <w:highlight w:val="none"/>
        </w:rPr>
        <w:t>4</w:t>
      </w:r>
      <w:r>
        <w:rPr>
          <w:rFonts w:hint="eastAsia" w:ascii="宋体" w:hAnsi="宋体" w:cs="宋体"/>
          <w:highlight w:val="none"/>
        </w:rPr>
        <w:t>小时内到达现场，</w:t>
      </w:r>
      <w:r>
        <w:rPr>
          <w:rFonts w:ascii="宋体" w:hAnsi="宋体" w:cs="宋体"/>
          <w:highlight w:val="none"/>
        </w:rPr>
        <w:t>48</w:t>
      </w:r>
      <w:r>
        <w:rPr>
          <w:rFonts w:hint="eastAsia" w:ascii="宋体" w:hAnsi="宋体" w:cs="宋体"/>
          <w:highlight w:val="none"/>
        </w:rPr>
        <w:t>小时内处理完毕。若在</w:t>
      </w:r>
      <w:r>
        <w:rPr>
          <w:rFonts w:ascii="宋体" w:hAnsi="宋体" w:cs="宋体"/>
          <w:highlight w:val="none"/>
        </w:rPr>
        <w:t>48</w:t>
      </w:r>
      <w:r>
        <w:rPr>
          <w:rFonts w:hint="eastAsia" w:ascii="宋体" w:hAnsi="宋体" w:cs="宋体"/>
          <w:highlight w:val="none"/>
        </w:rPr>
        <w:t>小时内仍未能有效解决，成交供应商须免费提供同档次由采购人按的设备予采购人临时使用。</w:t>
      </w:r>
    </w:p>
    <w:p w14:paraId="30AC6ED6">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（二）包装、保险及发运、保管要求</w:t>
      </w:r>
    </w:p>
    <w:p w14:paraId="779214DA">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设备材料的包装必须是制造商原厂包装，其包装均应有良好的防湿、防锈、防潮、防雨、防腐及防碰撞的措施。凡由于包装不良造成的损失和由此产生的费用均由成交供应商承担。</w:t>
      </w:r>
    </w:p>
    <w:p w14:paraId="03FAD433">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成交供应商负责将设备材料货到现场过程中的全部运输，包括装卸车、货物现场的搬运。</w:t>
      </w:r>
    </w:p>
    <w:p w14:paraId="57466178">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各种设备必须提供装箱清单，按装箱清单验收货物。</w:t>
      </w:r>
    </w:p>
    <w:p w14:paraId="4AA77BDE">
      <w:pPr>
        <w:pStyle w:val="116"/>
        <w:numPr>
          <w:ilvl w:val="0"/>
          <w:numId w:val="7"/>
        </w:numPr>
        <w:adjustRightInd w:val="0"/>
        <w:snapToGrid w:val="0"/>
        <w:spacing w:line="360" w:lineRule="auto"/>
        <w:ind w:firstLineChars="0"/>
        <w:rPr>
          <w:rFonts w:ascii="宋体" w:cs="Times New Roman"/>
          <w:highlight w:val="none"/>
        </w:rPr>
      </w:pPr>
      <w:r>
        <w:rPr>
          <w:rFonts w:hint="eastAsia" w:ascii="宋体" w:hAnsi="宋体" w:cs="宋体"/>
          <w:highlight w:val="none"/>
        </w:rPr>
        <w:t>货物在现场的保管由成交供应商负责，直至项目安装、验收完毕。</w:t>
      </w:r>
    </w:p>
    <w:p w14:paraId="3495BFE9">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货物在系统安装调试验收合格前的保险由成交供应商负责，成交供应商负责其派出的现场服务人员人身意外保险。</w:t>
      </w:r>
    </w:p>
    <w:p w14:paraId="53DC5D3B">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设备运至采购人指定的使用现场的包装、保险及发运等环节和费用均由成交供应商负责。</w:t>
      </w:r>
    </w:p>
    <w:p w14:paraId="4324C933">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（三）安装、调试与验收</w:t>
      </w:r>
    </w:p>
    <w:p w14:paraId="249A2661">
      <w:pPr>
        <w:pStyle w:val="17"/>
        <w:numPr>
          <w:ilvl w:val="0"/>
          <w:numId w:val="8"/>
        </w:numPr>
        <w:tabs>
          <w:tab w:val="left" w:pos="540"/>
        </w:tabs>
        <w:adjustRightInd w:val="0"/>
        <w:snapToGrid w:val="0"/>
        <w:spacing w:line="360" w:lineRule="auto"/>
        <w:ind w:firstLine="420" w:firstLineChars="200"/>
        <w:rPr>
          <w:rFonts w:hAnsi="宋体" w:cs="Times New Roman"/>
          <w:highlight w:val="none"/>
        </w:rPr>
      </w:pPr>
      <w:r>
        <w:rPr>
          <w:rFonts w:hint="eastAsia" w:hAnsi="宋体"/>
          <w:highlight w:val="none"/>
        </w:rPr>
        <w:t>成交供应商必须依照磋商文件的要求和响应文件的承诺，将设备、系统安装并调试至正常运行的最佳状态。</w:t>
      </w:r>
    </w:p>
    <w:p w14:paraId="7D9B7FBA">
      <w:pPr>
        <w:pStyle w:val="17"/>
        <w:numPr>
          <w:ilvl w:val="0"/>
          <w:numId w:val="8"/>
        </w:numPr>
        <w:tabs>
          <w:tab w:val="left" w:pos="540"/>
        </w:tabs>
        <w:adjustRightInd w:val="0"/>
        <w:snapToGrid w:val="0"/>
        <w:spacing w:line="360" w:lineRule="auto"/>
        <w:ind w:firstLine="420" w:firstLineChars="200"/>
        <w:rPr>
          <w:rFonts w:hAnsi="宋体"/>
          <w:highlight w:val="none"/>
        </w:rPr>
      </w:pPr>
      <w:r>
        <w:rPr>
          <w:rFonts w:hint="eastAsia" w:hAnsi="宋体"/>
          <w:highlight w:val="none"/>
        </w:rPr>
        <w:t>货物若有国家标准按照国家标准验收，若无国家标准按行业标准验收，为原制造商制造的全新产品，整机无污染，无侵权行为、表面无划损、无任何缺陷隐患，在中国境内可依常规安全合法使用。</w:t>
      </w:r>
      <w:r>
        <w:rPr>
          <w:rFonts w:hAnsi="宋体"/>
          <w:highlight w:val="none"/>
        </w:rPr>
        <w:t xml:space="preserve"> </w:t>
      </w:r>
    </w:p>
    <w:p w14:paraId="2A7B07AA">
      <w:pPr>
        <w:numPr>
          <w:ilvl w:val="0"/>
          <w:numId w:val="8"/>
        </w:numPr>
        <w:tabs>
          <w:tab w:val="left" w:pos="907"/>
        </w:tabs>
        <w:autoSpaceDE w:val="0"/>
        <w:autoSpaceDN w:val="0"/>
        <w:adjustRightInd w:val="0"/>
        <w:snapToGrid w:val="0"/>
        <w:spacing w:line="360" w:lineRule="auto"/>
        <w:ind w:firstLine="420" w:firstLineChars="200"/>
        <w:rPr>
          <w:rFonts w:ascii="宋体" w:cs="Times New Roman"/>
          <w:highlight w:val="none"/>
        </w:rPr>
      </w:pPr>
      <w:r>
        <w:rPr>
          <w:rFonts w:hint="eastAsia" w:ascii="宋体" w:hAnsi="宋体" w:cs="宋体"/>
          <w:highlight w:val="none"/>
        </w:rPr>
        <w:t>货物为原厂商未启封全新包装，</w:t>
      </w:r>
      <w:r>
        <w:rPr>
          <w:rFonts w:hint="eastAsia" w:ascii="宋体" w:hAnsi="宋体" w:cs="宋体"/>
          <w:highlight w:val="none"/>
          <w:lang w:val="en-US" w:eastAsia="zh-CN"/>
        </w:rPr>
        <w:t>出</w:t>
      </w:r>
      <w:r>
        <w:rPr>
          <w:rFonts w:hint="eastAsia" w:ascii="宋体" w:hAnsi="宋体" w:cs="宋体"/>
          <w:highlight w:val="none"/>
        </w:rPr>
        <w:t>具出厂合格证，序列号、包装箱号与出厂批号一致，并可追索查阅。所有随设备的附件必须齐全。</w:t>
      </w:r>
    </w:p>
    <w:p w14:paraId="27CE1806">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成交供应商应将关键主机设备的用户手册、保修手册、有关单证资料及配备件、随机工具等交付给采购人，使用操作及安全须知等重要资料应附有中文说明。</w:t>
      </w:r>
    </w:p>
    <w:p w14:paraId="2A4A03EC">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highlight w:val="none"/>
        </w:rPr>
        <w:t>采购</w:t>
      </w:r>
      <w:r>
        <w:rPr>
          <w:rFonts w:hint="eastAsia" w:ascii="宋体" w:hAnsi="宋体" w:cs="宋体"/>
          <w:color w:val="auto"/>
          <w:highlight w:val="none"/>
        </w:rPr>
        <w:t>人组成验收小组按合同规定进行验收。因货物质量问题发生争议时，由本地质量技术监督部门鉴定。货物符合质量技术标准的，鉴定费由采购人承担；否则鉴定费由成交供应商承担。</w:t>
      </w:r>
    </w:p>
    <w:p w14:paraId="3B4549BA">
      <w:pPr>
        <w:numPr>
          <w:ilvl w:val="0"/>
          <w:numId w:val="8"/>
        </w:numPr>
        <w:tabs>
          <w:tab w:val="left" w:pos="907"/>
        </w:tabs>
        <w:autoSpaceDE w:val="0"/>
        <w:autoSpaceDN w:val="0"/>
        <w:adjustRightInd w:val="0"/>
        <w:snapToGrid w:val="0"/>
        <w:spacing w:line="360" w:lineRule="auto"/>
        <w:ind w:firstLine="420" w:firstLineChars="200"/>
        <w:rPr>
          <w:rFonts w:ascii="宋体" w:cs="Times New Roman"/>
          <w:b/>
          <w:bCs/>
          <w:color w:val="auto"/>
        </w:rPr>
      </w:pPr>
      <w:r>
        <w:rPr>
          <w:rFonts w:hint="eastAsia" w:ascii="宋体" w:hAnsi="宋体" w:cs="宋体"/>
          <w:color w:val="auto"/>
          <w:highlight w:val="none"/>
        </w:rPr>
        <w:t>付款方式</w:t>
      </w:r>
    </w:p>
    <w:p w14:paraId="6C361E95">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14:paraId="2F4E7DF8">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47F1A791">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3FCF3C22">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75C242A0">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37409A23">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14:paraId="45076329">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4"/>
        <w:ind w:firstLine="210"/>
        <w:rPr>
          <w:rFonts w:cs="Times New Roman"/>
        </w:rPr>
      </w:pPr>
    </w:p>
    <w:p w14:paraId="4FC39602">
      <w:pPr>
        <w:rPr>
          <w:rFonts w:cs="Times New Roman"/>
        </w:rPr>
      </w:pPr>
    </w:p>
    <w:p w14:paraId="6CBB2FD6">
      <w:pPr>
        <w:pStyle w:val="2"/>
        <w:numPr>
          <w:ilvl w:val="0"/>
          <w:numId w:val="9"/>
        </w:numPr>
        <w:spacing w:before="0" w:after="0" w:line="360" w:lineRule="auto"/>
        <w:jc w:val="center"/>
        <w:rPr>
          <w:rFonts w:ascii="黑体" w:eastAsia="黑体"/>
          <w:b w:val="0"/>
          <w:bCs w:val="0"/>
          <w:kern w:val="2"/>
          <w:sz w:val="36"/>
          <w:szCs w:val="36"/>
        </w:rPr>
      </w:pPr>
      <w:bookmarkStart w:id="7" w:name="_Toc14797"/>
      <w:bookmarkStart w:id="8" w:name="_Toc26765"/>
      <w:r>
        <w:rPr>
          <w:rFonts w:hint="eastAsia" w:ascii="黑体" w:eastAsia="黑体" w:cs="黑体"/>
          <w:b w:val="0"/>
          <w:bCs w:val="0"/>
          <w:kern w:val="2"/>
          <w:sz w:val="36"/>
          <w:szCs w:val="36"/>
        </w:rPr>
        <w:t>磋商须知</w:t>
      </w:r>
      <w:bookmarkEnd w:id="7"/>
      <w:bookmarkEnd w:id="8"/>
    </w:p>
    <w:p w14:paraId="41364B6A">
      <w:pPr>
        <w:pStyle w:val="3"/>
        <w:spacing w:before="0" w:after="0" w:line="360" w:lineRule="auto"/>
        <w:jc w:val="center"/>
        <w:rPr>
          <w:rFonts w:cs="Times New Roman"/>
          <w:b w:val="0"/>
          <w:bCs w:val="0"/>
        </w:rPr>
      </w:pPr>
      <w:bookmarkStart w:id="9" w:name="_Toc22467"/>
      <w:bookmarkStart w:id="10" w:name="_Toc30342"/>
      <w:r>
        <w:rPr>
          <w:rFonts w:hint="eastAsia" w:cs="黑体"/>
          <w:b w:val="0"/>
          <w:bCs w:val="0"/>
        </w:rPr>
        <w:t>一、说明</w:t>
      </w:r>
      <w:bookmarkEnd w:id="9"/>
      <w:bookmarkEnd w:id="10"/>
    </w:p>
    <w:p w14:paraId="222A08C0">
      <w:pPr>
        <w:pStyle w:val="2"/>
        <w:numPr>
          <w:ilvl w:val="0"/>
          <w:numId w:val="10"/>
        </w:numPr>
        <w:spacing w:before="0" w:after="0" w:line="360" w:lineRule="auto"/>
        <w:ind w:left="924" w:hanging="924"/>
        <w:rPr>
          <w:rStyle w:val="74"/>
          <w:rFonts w:ascii="宋体" w:eastAsia="宋体" w:cs="Times New Roman"/>
          <w:sz w:val="21"/>
          <w:szCs w:val="21"/>
        </w:rPr>
      </w:pPr>
      <w:bookmarkStart w:id="11" w:name="_Toc30333"/>
      <w:bookmarkStart w:id="12" w:name="_Toc3122"/>
      <w:bookmarkStart w:id="13" w:name="_Toc31962"/>
      <w:r>
        <w:rPr>
          <w:rStyle w:val="74"/>
          <w:rFonts w:hint="eastAsia" w:ascii="宋体" w:hAnsi="宋体" w:eastAsia="宋体" w:cs="宋体"/>
          <w:sz w:val="21"/>
          <w:szCs w:val="21"/>
        </w:rPr>
        <w:t>采购项目与采购当事人</w:t>
      </w:r>
      <w:bookmarkEnd w:id="11"/>
      <w:bookmarkEnd w:id="12"/>
      <w:bookmarkEnd w:id="13"/>
    </w:p>
    <w:p w14:paraId="16DE02CE">
      <w:pPr>
        <w:numPr>
          <w:ilvl w:val="1"/>
          <w:numId w:val="11"/>
        </w:numPr>
        <w:spacing w:line="360" w:lineRule="auto"/>
        <w:rPr>
          <w:rFonts w:ascii="宋体" w:cs="Times New Roman"/>
        </w:rPr>
      </w:pPr>
      <w:bookmarkStart w:id="14"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1"/>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1"/>
        </w:numPr>
        <w:spacing w:line="360" w:lineRule="auto"/>
        <w:rPr>
          <w:rFonts w:ascii="宋体" w:cs="Times New Roman"/>
        </w:rPr>
      </w:pPr>
      <w:r>
        <w:rPr>
          <w:rFonts w:hint="eastAsia" w:ascii="宋体" w:hAnsi="宋体" w:cs="宋体"/>
        </w:rPr>
        <w:t>采购人：中山市技师学院。</w:t>
      </w:r>
    </w:p>
    <w:bookmarkEnd w:id="14"/>
    <w:p w14:paraId="70793392">
      <w:pPr>
        <w:numPr>
          <w:ilvl w:val="1"/>
          <w:numId w:val="11"/>
        </w:numPr>
        <w:spacing w:line="360" w:lineRule="auto"/>
        <w:rPr>
          <w:rFonts w:ascii="宋体" w:cs="Times New Roman"/>
        </w:rPr>
      </w:pPr>
      <w:bookmarkStart w:id="15" w:name="_Toc25007"/>
      <w:bookmarkStart w:id="16"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1"/>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1"/>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5"/>
      <w:bookmarkEnd w:id="16"/>
      <w:r>
        <w:rPr>
          <w:rStyle w:val="74"/>
          <w:rFonts w:hint="eastAsia" w:ascii="宋体" w:hAnsi="宋体" w:eastAsia="宋体" w:cs="宋体"/>
          <w:sz w:val="21"/>
          <w:szCs w:val="21"/>
        </w:rPr>
        <w:t>供应商</w:t>
      </w:r>
    </w:p>
    <w:p w14:paraId="4373F395">
      <w:pPr>
        <w:numPr>
          <w:ilvl w:val="1"/>
          <w:numId w:val="12"/>
        </w:numPr>
        <w:spacing w:line="360" w:lineRule="auto"/>
        <w:rPr>
          <w:rFonts w:ascii="宋体" w:cs="Times New Roman"/>
        </w:rPr>
      </w:pPr>
      <w:bookmarkStart w:id="17" w:name="_Toc30313"/>
      <w:bookmarkStart w:id="18" w:name="_Toc24222"/>
      <w:r>
        <w:rPr>
          <w:rFonts w:hint="eastAsia" w:ascii="宋体" w:hAnsi="宋体" w:cs="宋体"/>
        </w:rPr>
        <w:t>除非下文另有规定，凡是在中华人民共和国境内注册且为人民币流通区域内的供应商均可报价。</w:t>
      </w:r>
    </w:p>
    <w:p w14:paraId="11B8D085">
      <w:pPr>
        <w:numPr>
          <w:ilvl w:val="1"/>
          <w:numId w:val="12"/>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2"/>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2"/>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2"/>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2"/>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2"/>
        </w:numPr>
        <w:spacing w:line="360" w:lineRule="auto"/>
        <w:rPr>
          <w:rFonts w:ascii="宋体" w:cs="Times New Roman"/>
        </w:rPr>
      </w:pPr>
      <w:r>
        <w:rPr>
          <w:rFonts w:hint="eastAsia" w:ascii="宋体" w:hAnsi="宋体" w:cs="宋体"/>
        </w:rPr>
        <w:t>本项目不接受联合体磋商。</w:t>
      </w:r>
    </w:p>
    <w:p w14:paraId="22502079">
      <w:pPr>
        <w:numPr>
          <w:ilvl w:val="1"/>
          <w:numId w:val="12"/>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2"/>
        </w:numPr>
        <w:spacing w:line="360" w:lineRule="auto"/>
        <w:rPr>
          <w:rFonts w:ascii="宋体" w:cs="Times New Roman"/>
        </w:rPr>
      </w:pPr>
      <w:r>
        <w:rPr>
          <w:rFonts w:hint="eastAsia" w:ascii="宋体" w:hAnsi="宋体" w:cs="宋体"/>
        </w:rPr>
        <w:t>磋商文件《竞争性磋商邀请函》要求的其他条件。</w:t>
      </w:r>
    </w:p>
    <w:bookmarkEnd w:id="17"/>
    <w:bookmarkEnd w:id="18"/>
    <w:p w14:paraId="0C7B3F42">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BA2235B">
      <w:pPr>
        <w:numPr>
          <w:ilvl w:val="1"/>
          <w:numId w:val="13"/>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3"/>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3"/>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3"/>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10F74C3F">
      <w:pPr>
        <w:numPr>
          <w:ilvl w:val="1"/>
          <w:numId w:val="14"/>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2D47CA8A">
      <w:pPr>
        <w:numPr>
          <w:ilvl w:val="1"/>
          <w:numId w:val="15"/>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6"/>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6"/>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5"/>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7CE846CA">
      <w:pPr>
        <w:numPr>
          <w:ilvl w:val="1"/>
          <w:numId w:val="17"/>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7"/>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08F1789F">
      <w:pPr>
        <w:numPr>
          <w:ilvl w:val="0"/>
          <w:numId w:val="18"/>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8"/>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8"/>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8"/>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8"/>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8"/>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8"/>
        </w:numPr>
        <w:spacing w:line="360" w:lineRule="auto"/>
        <w:jc w:val="left"/>
        <w:rPr>
          <w:rFonts w:ascii="宋体" w:cs="Times New Roman"/>
          <w:color w:val="auto"/>
        </w:rPr>
      </w:pPr>
      <w:bookmarkStart w:id="19" w:name="_Hlk36653371"/>
      <w:r>
        <w:rPr>
          <w:rFonts w:hint="eastAsia" w:ascii="宋体" w:hAnsi="宋体" w:cs="宋体"/>
          <w:color w:val="auto"/>
        </w:rPr>
        <w:t>依据《中山市技师学院供应商管理制度》的规定，</w:t>
      </w:r>
      <w:bookmarkEnd w:id="19"/>
      <w:r>
        <w:rPr>
          <w:rFonts w:hint="eastAsia" w:ascii="宋体" w:hAnsi="宋体" w:cs="宋体"/>
          <w:color w:val="auto"/>
        </w:rPr>
        <w:t>供应商存在以下情形的，将被列入供应商不良行为：</w:t>
      </w:r>
    </w:p>
    <w:p w14:paraId="055DEC91">
      <w:pPr>
        <w:numPr>
          <w:ilvl w:val="0"/>
          <w:numId w:val="19"/>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19"/>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19"/>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19"/>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19"/>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19"/>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19"/>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19"/>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19"/>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19"/>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3"/>
        <w:spacing w:before="0" w:after="0" w:line="360" w:lineRule="auto"/>
        <w:jc w:val="center"/>
        <w:rPr>
          <w:rFonts w:cs="Times New Roman"/>
        </w:rPr>
      </w:pPr>
      <w:bookmarkStart w:id="20" w:name="_Toc18742"/>
      <w:bookmarkStart w:id="21" w:name="_Toc20073"/>
      <w:r>
        <w:rPr>
          <w:rFonts w:hint="eastAsia" w:cs="黑体"/>
        </w:rPr>
        <w:t>二、</w:t>
      </w:r>
      <w:bookmarkEnd w:id="20"/>
      <w:bookmarkEnd w:id="21"/>
      <w:r>
        <w:rPr>
          <w:rFonts w:hint="eastAsia" w:cs="黑体"/>
        </w:rPr>
        <w:t>磋商文件</w:t>
      </w:r>
    </w:p>
    <w:p w14:paraId="4D13FC30">
      <w:pPr>
        <w:pStyle w:val="2"/>
        <w:numPr>
          <w:ilvl w:val="0"/>
          <w:numId w:val="10"/>
        </w:numPr>
        <w:spacing w:before="0" w:after="0" w:line="360" w:lineRule="auto"/>
        <w:ind w:left="924" w:hanging="924"/>
        <w:rPr>
          <w:rStyle w:val="74"/>
          <w:rFonts w:ascii="宋体" w:eastAsia="宋体" w:cs="Times New Roman"/>
          <w:sz w:val="24"/>
          <w:szCs w:val="24"/>
        </w:rPr>
      </w:pPr>
      <w:bookmarkStart w:id="22" w:name="_Toc13210"/>
      <w:bookmarkStart w:id="23" w:name="_Toc16586"/>
      <w:r>
        <w:rPr>
          <w:rStyle w:val="74"/>
          <w:rFonts w:hint="eastAsia" w:ascii="宋体" w:hAnsi="宋体" w:eastAsia="宋体" w:cs="宋体"/>
          <w:sz w:val="24"/>
          <w:szCs w:val="24"/>
        </w:rPr>
        <w:t>磋商文件的编制参照与构成</w:t>
      </w:r>
      <w:bookmarkEnd w:id="22"/>
      <w:bookmarkEnd w:id="23"/>
    </w:p>
    <w:p w14:paraId="2BADE484">
      <w:pPr>
        <w:numPr>
          <w:ilvl w:val="1"/>
          <w:numId w:val="20"/>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20"/>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1"/>
        </w:numPr>
        <w:spacing w:line="360" w:lineRule="auto"/>
        <w:ind w:firstLine="415"/>
        <w:rPr>
          <w:rFonts w:ascii="宋体" w:cs="Times New Roman"/>
        </w:rPr>
      </w:pPr>
      <w:bookmarkStart w:id="24" w:name="_Hlk36650065"/>
      <w:r>
        <w:rPr>
          <w:rFonts w:hint="eastAsia" w:ascii="宋体" w:hAnsi="宋体" w:cs="宋体"/>
        </w:rPr>
        <w:t>竞争性磋商邀请函</w:t>
      </w:r>
    </w:p>
    <w:bookmarkEnd w:id="24"/>
    <w:p w14:paraId="6BFD7E1F">
      <w:pPr>
        <w:numPr>
          <w:ilvl w:val="0"/>
          <w:numId w:val="21"/>
        </w:numPr>
        <w:spacing w:line="360" w:lineRule="auto"/>
        <w:ind w:firstLine="415"/>
        <w:rPr>
          <w:rFonts w:ascii="宋体" w:cs="Times New Roman"/>
        </w:rPr>
      </w:pPr>
      <w:r>
        <w:rPr>
          <w:rFonts w:hint="eastAsia" w:ascii="宋体" w:hAnsi="宋体" w:cs="宋体"/>
        </w:rPr>
        <w:t>用户需求书</w:t>
      </w:r>
    </w:p>
    <w:p w14:paraId="0AAECDE0">
      <w:pPr>
        <w:numPr>
          <w:ilvl w:val="0"/>
          <w:numId w:val="21"/>
        </w:numPr>
        <w:spacing w:line="360" w:lineRule="auto"/>
        <w:ind w:firstLine="415"/>
        <w:rPr>
          <w:rFonts w:ascii="宋体" w:cs="Times New Roman"/>
        </w:rPr>
      </w:pPr>
      <w:r>
        <w:rPr>
          <w:rFonts w:hint="eastAsia" w:ascii="宋体" w:hAnsi="宋体" w:cs="宋体"/>
        </w:rPr>
        <w:t>磋商须知</w:t>
      </w:r>
    </w:p>
    <w:p w14:paraId="75398537">
      <w:pPr>
        <w:numPr>
          <w:ilvl w:val="0"/>
          <w:numId w:val="21"/>
        </w:numPr>
        <w:spacing w:line="360" w:lineRule="auto"/>
        <w:ind w:firstLine="415"/>
        <w:rPr>
          <w:rFonts w:ascii="宋体" w:cs="Times New Roman"/>
        </w:rPr>
      </w:pPr>
      <w:r>
        <w:rPr>
          <w:rFonts w:hint="eastAsia" w:ascii="宋体" w:hAnsi="宋体" w:cs="宋体"/>
        </w:rPr>
        <w:t>磋商、评审、成交</w:t>
      </w:r>
    </w:p>
    <w:p w14:paraId="69D8F266">
      <w:pPr>
        <w:numPr>
          <w:ilvl w:val="0"/>
          <w:numId w:val="21"/>
        </w:numPr>
        <w:spacing w:line="360" w:lineRule="auto"/>
        <w:ind w:firstLine="415"/>
        <w:rPr>
          <w:rFonts w:ascii="宋体" w:cs="Times New Roman"/>
        </w:rPr>
      </w:pPr>
      <w:r>
        <w:rPr>
          <w:rFonts w:hint="eastAsia" w:ascii="宋体" w:hAnsi="宋体" w:cs="宋体"/>
        </w:rPr>
        <w:t>合同书格式</w:t>
      </w:r>
    </w:p>
    <w:p w14:paraId="19A22CE0">
      <w:pPr>
        <w:numPr>
          <w:ilvl w:val="0"/>
          <w:numId w:val="21"/>
        </w:numPr>
        <w:spacing w:line="360" w:lineRule="auto"/>
        <w:ind w:firstLine="415"/>
        <w:rPr>
          <w:rFonts w:ascii="宋体" w:cs="Times New Roman"/>
        </w:rPr>
      </w:pPr>
      <w:r>
        <w:rPr>
          <w:rFonts w:hint="eastAsia" w:ascii="宋体" w:hAnsi="宋体" w:cs="宋体"/>
        </w:rPr>
        <w:t>响应文件格式</w:t>
      </w:r>
    </w:p>
    <w:p w14:paraId="5AB8123E">
      <w:pPr>
        <w:numPr>
          <w:ilvl w:val="0"/>
          <w:numId w:val="21"/>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20"/>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20"/>
        </w:numPr>
        <w:spacing w:line="360" w:lineRule="auto"/>
        <w:rPr>
          <w:rFonts w:cs="Times New Roman"/>
        </w:rPr>
      </w:pPr>
      <w:r>
        <w:rPr>
          <w:rFonts w:hint="eastAsia" w:cs="宋体"/>
        </w:rPr>
        <w:t>本项目磋商文件解释权归“中山市技师学院”所有。</w:t>
      </w:r>
    </w:p>
    <w:p w14:paraId="0F8E441D">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2"/>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2"/>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2"/>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2"/>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2"/>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2"/>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2"/>
        </w:numPr>
        <w:spacing w:line="360" w:lineRule="auto"/>
        <w:rPr>
          <w:rFonts w:ascii="宋体" w:hAnsi="宋体" w:cs="宋体"/>
        </w:rPr>
      </w:pPr>
      <w:bookmarkStart w:id="25"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5"/>
    </w:p>
    <w:p w14:paraId="4A82F8B5">
      <w:pPr>
        <w:pStyle w:val="34"/>
        <w:ind w:firstLine="210"/>
      </w:pPr>
    </w:p>
    <w:p w14:paraId="4A1541FC">
      <w:pPr>
        <w:pStyle w:val="3"/>
        <w:numPr>
          <w:ilvl w:val="0"/>
          <w:numId w:val="23"/>
        </w:numPr>
        <w:spacing w:before="0" w:after="0" w:line="360" w:lineRule="auto"/>
        <w:jc w:val="center"/>
        <w:rPr>
          <w:rFonts w:cs="Times New Roman"/>
        </w:rPr>
      </w:pPr>
      <w:bookmarkStart w:id="26" w:name="_Toc1041"/>
      <w:bookmarkStart w:id="27" w:name="_Toc18547"/>
      <w:r>
        <w:rPr>
          <w:rFonts w:hint="eastAsia" w:cs="黑体"/>
        </w:rPr>
        <w:t>响应文件的编制</w:t>
      </w:r>
      <w:bookmarkEnd w:id="26"/>
      <w:bookmarkEnd w:id="27"/>
    </w:p>
    <w:p w14:paraId="749F1D0F">
      <w:pPr>
        <w:pStyle w:val="2"/>
        <w:numPr>
          <w:ilvl w:val="0"/>
          <w:numId w:val="10"/>
        </w:numPr>
        <w:spacing w:before="0" w:after="0" w:line="360" w:lineRule="auto"/>
        <w:ind w:left="924" w:hanging="924"/>
        <w:rPr>
          <w:rStyle w:val="74"/>
          <w:rFonts w:ascii="宋体" w:eastAsia="宋体" w:cs="Times New Roman"/>
          <w:sz w:val="21"/>
          <w:szCs w:val="21"/>
        </w:rPr>
      </w:pPr>
      <w:bookmarkStart w:id="28" w:name="_Toc25330"/>
      <w:bookmarkStart w:id="29" w:name="_Toc23209"/>
      <w:bookmarkStart w:id="30" w:name="_Toc14248"/>
      <w:bookmarkStart w:id="31" w:name="_Toc9516"/>
      <w:r>
        <w:rPr>
          <w:rStyle w:val="74"/>
          <w:rFonts w:hint="eastAsia" w:ascii="宋体" w:hAnsi="宋体" w:eastAsia="宋体" w:cs="宋体"/>
          <w:sz w:val="21"/>
          <w:szCs w:val="21"/>
        </w:rPr>
        <w:t>报价的语言</w:t>
      </w:r>
      <w:bookmarkEnd w:id="28"/>
    </w:p>
    <w:p w14:paraId="568D9CFE">
      <w:pPr>
        <w:numPr>
          <w:ilvl w:val="1"/>
          <w:numId w:val="24"/>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2"/>
        <w:numPr>
          <w:ilvl w:val="0"/>
          <w:numId w:val="10"/>
        </w:numPr>
        <w:spacing w:before="0" w:after="0" w:line="360" w:lineRule="auto"/>
        <w:ind w:left="924" w:hanging="924"/>
        <w:rPr>
          <w:rStyle w:val="74"/>
          <w:rFonts w:ascii="宋体" w:eastAsia="宋体" w:cs="Times New Roman"/>
          <w:sz w:val="21"/>
          <w:szCs w:val="21"/>
        </w:rPr>
      </w:pPr>
      <w:bookmarkStart w:id="32" w:name="_Toc15585"/>
      <w:r>
        <w:rPr>
          <w:rStyle w:val="74"/>
          <w:rFonts w:hint="eastAsia" w:ascii="宋体" w:hAnsi="宋体" w:eastAsia="宋体" w:cs="宋体"/>
          <w:sz w:val="21"/>
          <w:szCs w:val="21"/>
        </w:rPr>
        <w:t>磋商范围及磋商文件中计量单位的使用</w:t>
      </w:r>
      <w:bookmarkEnd w:id="32"/>
    </w:p>
    <w:p w14:paraId="44B0CEDD">
      <w:pPr>
        <w:numPr>
          <w:ilvl w:val="1"/>
          <w:numId w:val="25"/>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5"/>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5"/>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5B60A32A">
      <w:pPr>
        <w:numPr>
          <w:ilvl w:val="1"/>
          <w:numId w:val="26"/>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6"/>
        </w:numPr>
        <w:spacing w:line="360" w:lineRule="auto"/>
        <w:rPr>
          <w:rFonts w:ascii="宋体" w:cs="Times New Roman"/>
        </w:rPr>
      </w:pPr>
      <w:bookmarkStart w:id="33"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6"/>
        </w:numPr>
        <w:spacing w:line="360" w:lineRule="auto"/>
        <w:rPr>
          <w:rFonts w:ascii="宋体" w:cs="Times New Roman"/>
        </w:rPr>
      </w:pPr>
      <w:r>
        <w:rPr>
          <w:rFonts w:hint="eastAsia" w:ascii="宋体" w:hAnsi="宋体" w:cs="宋体"/>
        </w:rPr>
        <w:t>明细报价表内容应包含：</w:t>
      </w:r>
    </w:p>
    <w:p w14:paraId="0ABC1DDC">
      <w:pPr>
        <w:numPr>
          <w:ilvl w:val="0"/>
          <w:numId w:val="27"/>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7"/>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7"/>
        </w:numPr>
        <w:spacing w:line="360" w:lineRule="auto"/>
        <w:ind w:firstLine="415"/>
        <w:rPr>
          <w:rFonts w:ascii="宋体" w:cs="Times New Roman"/>
        </w:rPr>
      </w:pPr>
      <w:r>
        <w:rPr>
          <w:rFonts w:hint="eastAsia" w:ascii="宋体" w:hAnsi="宋体" w:cs="宋体"/>
        </w:rPr>
        <w:t>其他一切隐含及不可预见的费用。</w:t>
      </w:r>
    </w:p>
    <w:bookmarkEnd w:id="33"/>
    <w:p w14:paraId="3FEABE21">
      <w:pPr>
        <w:numPr>
          <w:ilvl w:val="1"/>
          <w:numId w:val="26"/>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6"/>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6"/>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6"/>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9"/>
    </w:p>
    <w:p w14:paraId="42A15628">
      <w:pPr>
        <w:numPr>
          <w:ilvl w:val="1"/>
          <w:numId w:val="28"/>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8"/>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29"/>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29"/>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29"/>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29"/>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29"/>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29"/>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8"/>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8"/>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2"/>
        <w:numPr>
          <w:ilvl w:val="0"/>
          <w:numId w:val="10"/>
        </w:numPr>
        <w:spacing w:before="0" w:after="0" w:line="360" w:lineRule="auto"/>
        <w:ind w:left="924" w:hanging="924"/>
        <w:rPr>
          <w:rStyle w:val="74"/>
          <w:rFonts w:ascii="宋体" w:eastAsia="宋体" w:cs="Times New Roman"/>
          <w:sz w:val="21"/>
          <w:szCs w:val="21"/>
        </w:rPr>
      </w:pPr>
      <w:bookmarkStart w:id="34" w:name="_Toc20897"/>
      <w:bookmarkStart w:id="35" w:name="_Toc808"/>
      <w:r>
        <w:rPr>
          <w:rStyle w:val="74"/>
          <w:rFonts w:hint="eastAsia" w:ascii="宋体" w:hAnsi="宋体" w:eastAsia="宋体" w:cs="宋体"/>
          <w:sz w:val="21"/>
          <w:szCs w:val="21"/>
        </w:rPr>
        <w:t>响应文件编制</w:t>
      </w:r>
      <w:bookmarkEnd w:id="34"/>
      <w:bookmarkEnd w:id="35"/>
    </w:p>
    <w:p w14:paraId="66688540">
      <w:pPr>
        <w:numPr>
          <w:ilvl w:val="1"/>
          <w:numId w:val="30"/>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30"/>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30"/>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30"/>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35154E98">
      <w:pPr>
        <w:numPr>
          <w:ilvl w:val="1"/>
          <w:numId w:val="31"/>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9E71985">
      <w:pPr>
        <w:numPr>
          <w:ilvl w:val="1"/>
          <w:numId w:val="32"/>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2"/>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4"/>
        <w:ind w:left="0" w:leftChars="0" w:firstLine="0" w:firstLineChars="0"/>
        <w:rPr>
          <w:rFonts w:cs="Times New Roman"/>
        </w:rPr>
      </w:pPr>
    </w:p>
    <w:bookmarkEnd w:id="30"/>
    <w:bookmarkEnd w:id="31"/>
    <w:p w14:paraId="07FA2E52">
      <w:pPr>
        <w:pStyle w:val="3"/>
        <w:numPr>
          <w:ilvl w:val="0"/>
          <w:numId w:val="23"/>
        </w:numPr>
        <w:spacing w:before="0" w:after="0" w:line="360" w:lineRule="auto"/>
        <w:jc w:val="center"/>
        <w:rPr>
          <w:rFonts w:cs="Times New Roman"/>
        </w:rPr>
      </w:pPr>
      <w:r>
        <w:rPr>
          <w:rFonts w:hint="eastAsia" w:cs="黑体"/>
        </w:rPr>
        <w:t>响应文件的递交</w:t>
      </w:r>
    </w:p>
    <w:p w14:paraId="3E6188B5">
      <w:pPr>
        <w:pStyle w:val="2"/>
        <w:numPr>
          <w:ilvl w:val="0"/>
          <w:numId w:val="10"/>
        </w:numPr>
        <w:spacing w:before="0" w:after="0" w:line="360" w:lineRule="auto"/>
        <w:ind w:left="924" w:hanging="924"/>
        <w:rPr>
          <w:rStyle w:val="74"/>
          <w:rFonts w:ascii="宋体" w:eastAsia="宋体" w:cs="Times New Roman"/>
          <w:sz w:val="21"/>
          <w:szCs w:val="21"/>
        </w:rPr>
      </w:pPr>
      <w:bookmarkStart w:id="36" w:name="_Toc9949"/>
      <w:r>
        <w:rPr>
          <w:rStyle w:val="74"/>
          <w:rFonts w:hint="eastAsia" w:ascii="宋体" w:hAnsi="宋体" w:eastAsia="宋体" w:cs="宋体"/>
          <w:sz w:val="21"/>
          <w:szCs w:val="21"/>
        </w:rPr>
        <w:t>响应文件的份数和封装</w:t>
      </w:r>
      <w:bookmarkEnd w:id="36"/>
    </w:p>
    <w:p w14:paraId="2A0A4014">
      <w:pPr>
        <w:numPr>
          <w:ilvl w:val="1"/>
          <w:numId w:val="33"/>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7" w:name="_Hlk38030164"/>
      <w:r>
        <w:rPr>
          <w:rFonts w:hint="eastAsia" w:ascii="宋体" w:hAnsi="宋体" w:cs="宋体"/>
          <w:b/>
          <w:bCs/>
          <w:u w:val="single"/>
        </w:rPr>
        <w:t>注明公司名称和项目编号</w:t>
      </w:r>
      <w:bookmarkEnd w:id="37"/>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3"/>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3"/>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3"/>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3"/>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3"/>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2"/>
        <w:numPr>
          <w:ilvl w:val="0"/>
          <w:numId w:val="10"/>
        </w:numPr>
        <w:spacing w:before="0" w:after="0" w:line="360" w:lineRule="auto"/>
        <w:ind w:left="924" w:hanging="924"/>
        <w:rPr>
          <w:rStyle w:val="74"/>
          <w:rFonts w:ascii="宋体" w:eastAsia="宋体" w:cs="Times New Roman"/>
          <w:sz w:val="21"/>
          <w:szCs w:val="21"/>
        </w:rPr>
      </w:pPr>
      <w:bookmarkStart w:id="38" w:name="_Toc6378"/>
      <w:bookmarkStart w:id="39" w:name="_Toc13388"/>
      <w:r>
        <w:rPr>
          <w:rStyle w:val="74"/>
          <w:rFonts w:hint="eastAsia" w:ascii="宋体" w:hAnsi="宋体" w:eastAsia="宋体" w:cs="宋体"/>
          <w:sz w:val="21"/>
          <w:szCs w:val="21"/>
        </w:rPr>
        <w:t>报价有效期</w:t>
      </w:r>
      <w:bookmarkEnd w:id="38"/>
      <w:bookmarkEnd w:id="39"/>
    </w:p>
    <w:p w14:paraId="6BCB9D0E">
      <w:pPr>
        <w:numPr>
          <w:ilvl w:val="1"/>
          <w:numId w:val="34"/>
        </w:numPr>
        <w:spacing w:line="360" w:lineRule="auto"/>
        <w:rPr>
          <w:rFonts w:ascii="宋体" w:cs="Times New Roman"/>
        </w:rPr>
      </w:pPr>
      <w:bookmarkStart w:id="40"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40"/>
    </w:p>
    <w:p w14:paraId="3CF4AF5A">
      <w:pPr>
        <w:pStyle w:val="2"/>
        <w:numPr>
          <w:ilvl w:val="0"/>
          <w:numId w:val="10"/>
        </w:numPr>
        <w:spacing w:before="0" w:after="0" w:line="360" w:lineRule="auto"/>
        <w:ind w:left="924" w:hanging="924"/>
        <w:rPr>
          <w:rStyle w:val="74"/>
          <w:rFonts w:ascii="宋体" w:eastAsia="宋体" w:cs="Times New Roman"/>
          <w:sz w:val="21"/>
          <w:szCs w:val="21"/>
        </w:rPr>
      </w:pPr>
      <w:bookmarkStart w:id="41" w:name="_Toc22257"/>
      <w:r>
        <w:rPr>
          <w:rStyle w:val="74"/>
          <w:rFonts w:hint="eastAsia" w:ascii="宋体" w:hAnsi="宋体" w:eastAsia="宋体" w:cs="宋体"/>
          <w:sz w:val="21"/>
          <w:szCs w:val="21"/>
        </w:rPr>
        <w:t>响应文件的递交</w:t>
      </w:r>
      <w:bookmarkEnd w:id="41"/>
    </w:p>
    <w:p w14:paraId="36431E36">
      <w:pPr>
        <w:numPr>
          <w:ilvl w:val="1"/>
          <w:numId w:val="35"/>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5"/>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5"/>
        </w:numPr>
        <w:spacing w:line="360" w:lineRule="auto"/>
        <w:rPr>
          <w:rFonts w:ascii="宋体" w:cs="Times New Roman"/>
        </w:rPr>
      </w:pPr>
      <w:r>
        <w:rPr>
          <w:rFonts w:hint="eastAsia" w:ascii="宋体" w:hAnsi="宋体" w:cs="宋体"/>
        </w:rPr>
        <w:t>本次采购不接受邮寄、电报、电话、传真方式报价。</w:t>
      </w:r>
    </w:p>
    <w:p w14:paraId="57A60297">
      <w:pPr>
        <w:pStyle w:val="2"/>
        <w:numPr>
          <w:ilvl w:val="0"/>
          <w:numId w:val="10"/>
        </w:numPr>
        <w:spacing w:before="0" w:after="0" w:line="360" w:lineRule="auto"/>
        <w:ind w:left="924" w:hanging="924"/>
        <w:rPr>
          <w:rStyle w:val="74"/>
          <w:rFonts w:ascii="宋体" w:eastAsia="宋体" w:cs="Times New Roman"/>
          <w:sz w:val="21"/>
          <w:szCs w:val="21"/>
        </w:rPr>
      </w:pPr>
      <w:bookmarkStart w:id="42" w:name="_Toc10907"/>
      <w:bookmarkStart w:id="43" w:name="_Toc11168"/>
      <w:r>
        <w:rPr>
          <w:rStyle w:val="74"/>
          <w:rFonts w:hint="eastAsia" w:ascii="宋体" w:hAnsi="宋体" w:eastAsia="宋体" w:cs="宋体"/>
          <w:sz w:val="21"/>
          <w:szCs w:val="21"/>
        </w:rPr>
        <w:t>响应文件的修改和撤回</w:t>
      </w:r>
      <w:bookmarkEnd w:id="42"/>
      <w:bookmarkEnd w:id="43"/>
    </w:p>
    <w:p w14:paraId="20EE73FD">
      <w:pPr>
        <w:numPr>
          <w:ilvl w:val="1"/>
          <w:numId w:val="36"/>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6"/>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6"/>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6"/>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3"/>
        <w:spacing w:before="0" w:after="0" w:line="360" w:lineRule="auto"/>
        <w:jc w:val="center"/>
        <w:rPr>
          <w:rFonts w:cs="Times New Roman"/>
        </w:rPr>
      </w:pPr>
      <w:bookmarkStart w:id="44" w:name="_Toc30208"/>
      <w:bookmarkStart w:id="45" w:name="_Toc21690"/>
      <w:r>
        <w:rPr>
          <w:rFonts w:hint="eastAsia" w:cs="黑体"/>
        </w:rPr>
        <w:t>五、质疑与投诉</w:t>
      </w:r>
      <w:bookmarkEnd w:id="44"/>
      <w:bookmarkEnd w:id="45"/>
    </w:p>
    <w:p w14:paraId="56070673">
      <w:pPr>
        <w:pStyle w:val="2"/>
        <w:numPr>
          <w:ilvl w:val="0"/>
          <w:numId w:val="10"/>
        </w:numPr>
        <w:spacing w:before="0" w:after="0" w:line="360" w:lineRule="auto"/>
        <w:ind w:left="924" w:hanging="924"/>
        <w:rPr>
          <w:rStyle w:val="74"/>
          <w:rFonts w:ascii="宋体" w:eastAsia="宋体" w:cs="Times New Roman"/>
          <w:sz w:val="21"/>
          <w:szCs w:val="21"/>
        </w:rPr>
      </w:pPr>
      <w:bookmarkStart w:id="46" w:name="_Toc20973"/>
      <w:bookmarkStart w:id="47" w:name="_Toc17848"/>
      <w:r>
        <w:rPr>
          <w:rStyle w:val="74"/>
          <w:rFonts w:hint="eastAsia" w:ascii="宋体" w:hAnsi="宋体" w:eastAsia="宋体" w:cs="宋体"/>
          <w:sz w:val="21"/>
          <w:szCs w:val="21"/>
        </w:rPr>
        <w:t>询问</w:t>
      </w:r>
      <w:bookmarkEnd w:id="46"/>
      <w:bookmarkEnd w:id="47"/>
    </w:p>
    <w:p w14:paraId="5C927EBE">
      <w:pPr>
        <w:numPr>
          <w:ilvl w:val="1"/>
          <w:numId w:val="37"/>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7"/>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7"/>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2"/>
        <w:numPr>
          <w:ilvl w:val="0"/>
          <w:numId w:val="10"/>
        </w:numPr>
        <w:spacing w:before="0" w:after="0" w:line="360" w:lineRule="auto"/>
        <w:ind w:left="924" w:hanging="924"/>
        <w:rPr>
          <w:rStyle w:val="74"/>
          <w:rFonts w:ascii="宋体" w:eastAsia="宋体" w:cs="Times New Roman"/>
          <w:sz w:val="21"/>
          <w:szCs w:val="21"/>
        </w:rPr>
      </w:pPr>
      <w:bookmarkStart w:id="48" w:name="_Toc31021"/>
      <w:bookmarkStart w:id="49" w:name="_Toc1246"/>
      <w:r>
        <w:rPr>
          <w:rStyle w:val="74"/>
          <w:rFonts w:hint="eastAsia" w:ascii="宋体" w:hAnsi="宋体" w:eastAsia="宋体" w:cs="宋体"/>
          <w:sz w:val="21"/>
          <w:szCs w:val="21"/>
        </w:rPr>
        <w:t>质疑</w:t>
      </w:r>
      <w:bookmarkEnd w:id="48"/>
      <w:bookmarkEnd w:id="49"/>
    </w:p>
    <w:p w14:paraId="3BEB2B16">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50" w:name="OLE_LINK19"/>
      <w:r>
        <w:rPr>
          <w:rFonts w:ascii="宋体" w:hAnsi="宋体" w:cs="宋体"/>
        </w:rPr>
        <w:t>0760-</w:t>
      </w:r>
      <w:bookmarkEnd w:id="50"/>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4"/>
      </w:pPr>
    </w:p>
    <w:p w14:paraId="6ED6402F">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2"/>
        <w:tabs>
          <w:tab w:val="left" w:pos="907"/>
        </w:tabs>
        <w:spacing w:before="0" w:after="0" w:line="360" w:lineRule="auto"/>
        <w:ind w:left="924"/>
        <w:rPr>
          <w:rStyle w:val="74"/>
          <w:rFonts w:ascii="宋体" w:eastAsia="宋体" w:cs="Times New Roman"/>
          <w:sz w:val="21"/>
          <w:szCs w:val="21"/>
        </w:rPr>
      </w:pPr>
    </w:p>
    <w:p w14:paraId="1B3BECA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1CB4E36A">
      <w:pPr>
        <w:numPr>
          <w:ilvl w:val="1"/>
          <w:numId w:val="41"/>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4"/>
        <w:ind w:firstLine="210"/>
        <w:rPr>
          <w:rFonts w:cs="Times New Roman"/>
        </w:rPr>
      </w:pPr>
    </w:p>
    <w:p w14:paraId="2D7932D7">
      <w:pPr>
        <w:pStyle w:val="3"/>
        <w:spacing w:before="0" w:after="0" w:line="360" w:lineRule="auto"/>
        <w:jc w:val="center"/>
        <w:rPr>
          <w:rFonts w:cs="Times New Roman"/>
        </w:rPr>
      </w:pPr>
      <w:bookmarkStart w:id="51" w:name="_Toc21552"/>
      <w:bookmarkStart w:id="52" w:name="_Toc16035"/>
      <w:r>
        <w:rPr>
          <w:rFonts w:hint="eastAsia" w:cs="黑体"/>
        </w:rPr>
        <w:t>六、授予合同</w:t>
      </w:r>
      <w:bookmarkEnd w:id="51"/>
      <w:bookmarkEnd w:id="52"/>
    </w:p>
    <w:p w14:paraId="285A97D6">
      <w:pPr>
        <w:pStyle w:val="2"/>
        <w:numPr>
          <w:ilvl w:val="0"/>
          <w:numId w:val="10"/>
        </w:numPr>
        <w:spacing w:before="0" w:after="0" w:line="360" w:lineRule="auto"/>
        <w:ind w:left="924" w:hanging="924"/>
        <w:rPr>
          <w:rStyle w:val="74"/>
          <w:rFonts w:ascii="宋体" w:eastAsia="宋体" w:cs="Times New Roman"/>
          <w:sz w:val="21"/>
          <w:szCs w:val="21"/>
        </w:rPr>
      </w:pPr>
      <w:bookmarkStart w:id="53" w:name="_Toc14943"/>
      <w:bookmarkStart w:id="54" w:name="_Ref179619923"/>
      <w:bookmarkStart w:id="55" w:name="_Toc4190"/>
      <w:bookmarkStart w:id="56" w:name="_Toc30464"/>
      <w:r>
        <w:rPr>
          <w:rStyle w:val="74"/>
          <w:rFonts w:hint="eastAsia" w:ascii="宋体" w:hAnsi="宋体" w:eastAsia="宋体" w:cs="宋体"/>
          <w:sz w:val="21"/>
          <w:szCs w:val="21"/>
        </w:rPr>
        <w:t>接受和拒绝任何或所有报价的权力</w:t>
      </w:r>
      <w:bookmarkEnd w:id="53"/>
      <w:bookmarkEnd w:id="54"/>
    </w:p>
    <w:p w14:paraId="50C2DBDD">
      <w:pPr>
        <w:numPr>
          <w:ilvl w:val="1"/>
          <w:numId w:val="42"/>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54733FE4">
      <w:pPr>
        <w:numPr>
          <w:ilvl w:val="1"/>
          <w:numId w:val="43"/>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3"/>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5AA64E4">
      <w:pPr>
        <w:numPr>
          <w:ilvl w:val="1"/>
          <w:numId w:val="44"/>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4"/>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5"/>
    <w:bookmarkEnd w:id="56"/>
    <w:p w14:paraId="0455B562">
      <w:pPr>
        <w:pStyle w:val="2"/>
        <w:numPr>
          <w:ilvl w:val="0"/>
          <w:numId w:val="10"/>
        </w:numPr>
        <w:spacing w:before="0" w:after="0" w:line="360" w:lineRule="auto"/>
        <w:ind w:left="924" w:hanging="924"/>
        <w:rPr>
          <w:rStyle w:val="74"/>
          <w:rFonts w:ascii="宋体" w:eastAsia="宋体" w:cs="Times New Roman"/>
          <w:sz w:val="21"/>
          <w:szCs w:val="21"/>
        </w:rPr>
      </w:pPr>
      <w:bookmarkStart w:id="57" w:name="_Ref179619574"/>
      <w:r>
        <w:rPr>
          <w:rStyle w:val="74"/>
          <w:rFonts w:hint="eastAsia" w:ascii="宋体" w:hAnsi="宋体" w:eastAsia="宋体" w:cs="宋体"/>
          <w:sz w:val="21"/>
          <w:szCs w:val="21"/>
        </w:rPr>
        <w:t>特别说明</w:t>
      </w:r>
    </w:p>
    <w:bookmarkEnd w:id="57"/>
    <w:p w14:paraId="3A59B972">
      <w:pPr>
        <w:numPr>
          <w:ilvl w:val="1"/>
          <w:numId w:val="45"/>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5"/>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7"/>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7"/>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7"/>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7"/>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7"/>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5"/>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8"/>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8"/>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8"/>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8"/>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2"/>
        <w:numPr>
          <w:ilvl w:val="0"/>
          <w:numId w:val="9"/>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49"/>
        </w:numPr>
        <w:spacing w:line="360" w:lineRule="auto"/>
        <w:jc w:val="left"/>
        <w:rPr>
          <w:rFonts w:ascii="宋体" w:cs="Times New Roman"/>
          <w:b/>
          <w:bCs/>
        </w:rPr>
      </w:pPr>
      <w:r>
        <w:rPr>
          <w:rFonts w:hint="eastAsia" w:ascii="宋体" w:hAnsi="宋体" w:cs="宋体"/>
          <w:b/>
          <w:bCs/>
        </w:rPr>
        <w:t>评审方法</w:t>
      </w:r>
    </w:p>
    <w:p w14:paraId="20A85AAF">
      <w:pPr>
        <w:numPr>
          <w:ilvl w:val="0"/>
          <w:numId w:val="50"/>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50"/>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49"/>
        </w:numPr>
        <w:spacing w:line="360" w:lineRule="auto"/>
        <w:jc w:val="left"/>
        <w:rPr>
          <w:rFonts w:ascii="宋体" w:cs="Times New Roman"/>
          <w:b/>
          <w:bCs/>
        </w:rPr>
      </w:pPr>
      <w:r>
        <w:rPr>
          <w:rFonts w:hint="eastAsia" w:ascii="宋体" w:hAnsi="宋体" w:cs="宋体"/>
          <w:b/>
          <w:bCs/>
        </w:rPr>
        <w:t>评审原则</w:t>
      </w:r>
    </w:p>
    <w:p w14:paraId="7E21FA64">
      <w:pPr>
        <w:numPr>
          <w:ilvl w:val="0"/>
          <w:numId w:val="51"/>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1"/>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49"/>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2"/>
        </w:numPr>
        <w:tabs>
          <w:tab w:val="left" w:pos="851"/>
        </w:tabs>
        <w:spacing w:line="360" w:lineRule="auto"/>
        <w:jc w:val="left"/>
        <w:rPr>
          <w:rFonts w:ascii="宋体" w:cs="Times New Roman"/>
        </w:rPr>
      </w:pPr>
      <w:r>
        <w:rPr>
          <w:rFonts w:hint="eastAsia" w:ascii="宋体" w:hAnsi="宋体" w:cs="宋体"/>
        </w:rPr>
        <w:t>本次采购依法组建</w:t>
      </w:r>
      <w:bookmarkStart w:id="58" w:name="OLE_LINK59"/>
      <w:r>
        <w:rPr>
          <w:rFonts w:hint="eastAsia" w:ascii="宋体" w:hAnsi="宋体" w:cs="宋体"/>
        </w:rPr>
        <w:t>磋商小组</w:t>
      </w:r>
      <w:bookmarkEnd w:id="58"/>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3"/>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3"/>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4"/>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4"/>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4"/>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4"/>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4"/>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2"/>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2"/>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2"/>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2"/>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49"/>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5"/>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5"/>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49"/>
        </w:numPr>
        <w:spacing w:line="360" w:lineRule="auto"/>
        <w:jc w:val="left"/>
        <w:rPr>
          <w:rFonts w:ascii="宋体" w:cs="Times New Roman"/>
          <w:b/>
          <w:bCs/>
        </w:rPr>
      </w:pPr>
      <w:r>
        <w:rPr>
          <w:rFonts w:hint="eastAsia" w:ascii="宋体" w:hAnsi="宋体" w:cs="宋体"/>
          <w:b/>
          <w:bCs/>
        </w:rPr>
        <w:t>磋商</w:t>
      </w:r>
    </w:p>
    <w:p w14:paraId="689571C5">
      <w:pPr>
        <w:numPr>
          <w:ilvl w:val="0"/>
          <w:numId w:val="56"/>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6"/>
        </w:numPr>
        <w:tabs>
          <w:tab w:val="left" w:pos="851"/>
        </w:tabs>
        <w:spacing w:line="360" w:lineRule="auto"/>
        <w:jc w:val="left"/>
        <w:rPr>
          <w:rFonts w:ascii="宋体" w:cs="Times New Roman"/>
        </w:rPr>
      </w:pPr>
      <w:r>
        <w:rPr>
          <w:rFonts w:hint="eastAsia" w:ascii="宋体" w:hAnsi="宋体" w:cs="宋体"/>
        </w:rPr>
        <w:t>磋商小组与</w:t>
      </w:r>
      <w:bookmarkStart w:id="59" w:name="OLE_LINK23"/>
      <w:r>
        <w:rPr>
          <w:rFonts w:hint="eastAsia" w:ascii="宋体" w:hAnsi="宋体" w:cs="宋体"/>
        </w:rPr>
        <w:t>供应商</w:t>
      </w:r>
      <w:bookmarkEnd w:id="59"/>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5"/>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5"/>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5"/>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5"/>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5"/>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5"/>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49"/>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7"/>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7"/>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8"/>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8"/>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8"/>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59"/>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59"/>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59"/>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59"/>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8"/>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7"/>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60"/>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60" w:name="_Hlk38033529"/>
      <w:r>
        <w:rPr>
          <w:rFonts w:hint="eastAsia" w:ascii="宋体" w:hAnsi="宋体" w:cs="宋体"/>
        </w:rPr>
        <w:t>《技术商务评审表》</w:t>
      </w:r>
      <w:bookmarkEnd w:id="60"/>
    </w:p>
    <w:p w14:paraId="20C4BE6A">
      <w:pPr>
        <w:numPr>
          <w:ilvl w:val="0"/>
          <w:numId w:val="57"/>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1"/>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7"/>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49"/>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2"/>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2"/>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2"/>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49"/>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3"/>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3"/>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49"/>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4"/>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4"/>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4"/>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61" w:name="_Hlk38035320"/>
      <w:r>
        <w:rPr>
          <w:rFonts w:hint="eastAsia" w:cs="宋体"/>
        </w:rPr>
        <w:t>价格评审表</w:t>
      </w:r>
      <w:bookmarkEnd w:id="61"/>
    </w:p>
    <w:p w14:paraId="351DB305">
      <w:pPr>
        <w:spacing w:line="360" w:lineRule="auto"/>
        <w:ind w:left="420" w:leftChars="200" w:firstLine="420"/>
        <w:rPr>
          <w:rFonts w:cs="Times New Roman"/>
        </w:rPr>
      </w:pPr>
      <w:r>
        <w:rPr>
          <w:rFonts w:hint="eastAsia" w:cs="宋体"/>
        </w:rPr>
        <w:t>附件三：</w:t>
      </w:r>
      <w:bookmarkStart w:id="62" w:name="_Hlk38036232"/>
      <w:r>
        <w:rPr>
          <w:rFonts w:hint="eastAsia" w:cs="宋体"/>
        </w:rPr>
        <w:t>资格性及符合性审查表</w:t>
      </w:r>
      <w:bookmarkEnd w:id="62"/>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3" w:name="_Hlk38035208"/>
      <w:r>
        <w:rPr>
          <w:rFonts w:hint="eastAsia" w:cs="宋体"/>
          <w:b/>
          <w:bCs/>
        </w:rPr>
        <w:t>附件一：评标项目的分值分配</w:t>
      </w:r>
    </w:p>
    <w:bookmarkEnd w:id="63"/>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eastAsia" w:ascii="宋体" w:hAnsi="宋体" w:cs="宋体"/>
                <w:color w:val="C0504D" w:themeColor="accent2"/>
                <w:lang w:val="en-US" w:eastAsia="zh-CN"/>
              </w:rPr>
              <w:t>60</w:t>
            </w:r>
            <w:r>
              <w:rPr>
                <w:rFonts w:hint="eastAsia" w:ascii="宋体" w:hAnsi="宋体" w:cs="宋体"/>
              </w:rPr>
              <w:t>分</w:t>
            </w:r>
          </w:p>
        </w:tc>
        <w:tc>
          <w:tcPr>
            <w:tcW w:w="2065" w:type="dxa"/>
            <w:vAlign w:val="center"/>
          </w:tcPr>
          <w:p w14:paraId="5AE1FFAB">
            <w:pPr>
              <w:jc w:val="center"/>
              <w:rPr>
                <w:rFonts w:ascii="宋体" w:cs="Times New Roman"/>
              </w:rPr>
            </w:pPr>
            <w:r>
              <w:rPr>
                <w:rFonts w:hint="eastAsia" w:ascii="宋体" w:hAnsi="宋体" w:cs="宋体"/>
                <w:color w:val="C0504D" w:themeColor="accent2"/>
                <w:lang w:val="en-US" w:eastAsia="zh-CN"/>
              </w:rPr>
              <w:t>40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7"/>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4"/>
        <w:ind w:firstLine="210"/>
        <w:rPr>
          <w:rFonts w:cs="Times New Roman"/>
        </w:rPr>
      </w:pPr>
    </w:p>
    <w:p w14:paraId="03A8BEDF">
      <w:pPr>
        <w:pStyle w:val="34"/>
        <w:ind w:firstLine="210"/>
        <w:rPr>
          <w:rFonts w:cs="Times New Roman"/>
        </w:rPr>
      </w:pPr>
    </w:p>
    <w:p w14:paraId="63C11786">
      <w:pPr>
        <w:pStyle w:val="34"/>
        <w:ind w:firstLine="210"/>
        <w:rPr>
          <w:rFonts w:cs="Times New Roman"/>
        </w:rPr>
      </w:pPr>
    </w:p>
    <w:p w14:paraId="547128E5">
      <w:pPr>
        <w:pStyle w:val="34"/>
        <w:ind w:firstLine="210"/>
        <w:rPr>
          <w:rFonts w:cs="Times New Roman"/>
        </w:rPr>
      </w:pPr>
    </w:p>
    <w:p w14:paraId="65675945">
      <w:pPr>
        <w:pStyle w:val="34"/>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4"/>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59"/>
        <w:gridCol w:w="709"/>
        <w:gridCol w:w="8930"/>
        <w:gridCol w:w="1276"/>
        <w:gridCol w:w="1276"/>
        <w:gridCol w:w="1134"/>
      </w:tblGrid>
      <w:tr w14:paraId="570D3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65886D98">
            <w:pPr>
              <w:jc w:val="center"/>
            </w:pPr>
            <w:r>
              <w:rPr>
                <w:rFonts w:hint="eastAsia"/>
              </w:rPr>
              <w:t>序号</w:t>
            </w:r>
          </w:p>
        </w:tc>
        <w:tc>
          <w:tcPr>
            <w:tcW w:w="1559" w:type="dxa"/>
            <w:tcBorders>
              <w:top w:val="double" w:color="auto" w:sz="4" w:space="0"/>
              <w:left w:val="single" w:color="auto" w:sz="6" w:space="0"/>
              <w:bottom w:val="single" w:color="auto" w:sz="6" w:space="0"/>
              <w:right w:val="single" w:color="auto" w:sz="6" w:space="0"/>
            </w:tcBorders>
            <w:shd w:val="clear" w:color="auto" w:fill="D9D9D9"/>
            <w:vAlign w:val="center"/>
          </w:tcPr>
          <w:p w14:paraId="02C196D5">
            <w:pPr>
              <w:jc w:val="center"/>
            </w:pPr>
            <w:r>
              <w:rPr>
                <w:rFonts w:hint="eastAsia"/>
              </w:rPr>
              <w:t>评审项目</w:t>
            </w:r>
          </w:p>
        </w:tc>
        <w:tc>
          <w:tcPr>
            <w:tcW w:w="709" w:type="dxa"/>
            <w:tcBorders>
              <w:top w:val="double" w:color="auto" w:sz="4" w:space="0"/>
              <w:left w:val="single" w:color="auto" w:sz="6" w:space="0"/>
              <w:bottom w:val="single" w:color="auto" w:sz="6" w:space="0"/>
              <w:right w:val="single" w:color="auto" w:sz="6" w:space="0"/>
            </w:tcBorders>
            <w:shd w:val="clear" w:color="auto" w:fill="D9D9D9"/>
            <w:vAlign w:val="center"/>
          </w:tcPr>
          <w:p w14:paraId="7A0A1D96">
            <w:pPr>
              <w:jc w:val="center"/>
            </w:pPr>
            <w:r>
              <w:rPr>
                <w:rFonts w:hint="eastAsia"/>
              </w:rPr>
              <w:t>分配分数</w:t>
            </w:r>
          </w:p>
        </w:tc>
        <w:tc>
          <w:tcPr>
            <w:tcW w:w="8930" w:type="dxa"/>
            <w:tcBorders>
              <w:top w:val="double" w:color="auto" w:sz="4" w:space="0"/>
              <w:left w:val="single" w:color="auto" w:sz="6" w:space="0"/>
              <w:bottom w:val="single" w:color="auto" w:sz="6" w:space="0"/>
              <w:right w:val="single" w:color="auto" w:sz="6" w:space="0"/>
            </w:tcBorders>
            <w:shd w:val="clear" w:color="auto" w:fill="D9D9D9"/>
            <w:vAlign w:val="center"/>
          </w:tcPr>
          <w:p w14:paraId="718B299E">
            <w:pPr>
              <w:ind w:firstLine="1260" w:firstLineChars="600"/>
            </w:pPr>
            <w:r>
              <w:rPr>
                <w:rFonts w:hint="eastAsia"/>
              </w:rPr>
              <w:t>评议内容</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14:paraId="3280B9C0">
            <w:pPr>
              <w:ind w:right="210"/>
              <w:jc w:val="center"/>
            </w:pPr>
            <w:r>
              <w:rPr>
                <w:rFonts w:hint="eastAsia"/>
              </w:rPr>
              <w:t xml:space="preserve">  投标人</w:t>
            </w:r>
          </w:p>
          <w:p w14:paraId="4ECA0F7C">
            <w:pPr>
              <w:jc w:val="center"/>
            </w:pPr>
            <w:r>
              <w:rPr>
                <w:rFonts w:hint="eastAsia"/>
              </w:rPr>
              <w:t>（一）</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14:paraId="6B8F77EE">
            <w:pPr>
              <w:ind w:right="210"/>
              <w:jc w:val="center"/>
            </w:pPr>
            <w:r>
              <w:rPr>
                <w:rFonts w:hint="eastAsia"/>
              </w:rPr>
              <w:t>投标人</w:t>
            </w:r>
          </w:p>
          <w:p w14:paraId="29829AE4">
            <w:pPr>
              <w:ind w:right="210"/>
              <w:jc w:val="center"/>
            </w:pPr>
            <w:r>
              <w:rPr>
                <w:rFonts w:hint="eastAsia"/>
              </w:rPr>
              <w:t>（二）</w:t>
            </w:r>
          </w:p>
        </w:tc>
        <w:tc>
          <w:tcPr>
            <w:tcW w:w="1134" w:type="dxa"/>
            <w:tcBorders>
              <w:top w:val="double" w:color="auto" w:sz="4" w:space="0"/>
              <w:left w:val="single" w:color="auto" w:sz="6" w:space="0"/>
              <w:bottom w:val="single" w:color="auto" w:sz="6" w:space="0"/>
              <w:right w:val="single" w:color="auto" w:sz="6" w:space="0"/>
            </w:tcBorders>
            <w:shd w:val="clear" w:color="auto" w:fill="D9D9D9"/>
            <w:vAlign w:val="center"/>
          </w:tcPr>
          <w:p w14:paraId="214A925B">
            <w:pPr>
              <w:ind w:right="210"/>
              <w:jc w:val="center"/>
            </w:pPr>
            <w:r>
              <w:rPr>
                <w:rFonts w:hint="eastAsia"/>
              </w:rPr>
              <w:t>投标人（三）</w:t>
            </w:r>
          </w:p>
        </w:tc>
      </w:tr>
      <w:tr w14:paraId="2C23D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2F7693AC">
            <w:pPr>
              <w:jc w:val="center"/>
            </w:pPr>
            <w:r>
              <w:rPr>
                <w:rFonts w:hint="eastAsia"/>
              </w:rPr>
              <w:t>1</w:t>
            </w:r>
          </w:p>
        </w:tc>
        <w:tc>
          <w:tcPr>
            <w:tcW w:w="1559" w:type="dxa"/>
            <w:tcBorders>
              <w:top w:val="single" w:color="auto" w:sz="6" w:space="0"/>
              <w:left w:val="single" w:color="auto" w:sz="6" w:space="0"/>
              <w:bottom w:val="single" w:color="auto" w:sz="4" w:space="0"/>
              <w:right w:val="single" w:color="auto" w:sz="6" w:space="0"/>
            </w:tcBorders>
            <w:vAlign w:val="center"/>
          </w:tcPr>
          <w:p w14:paraId="0AFB2AC2">
            <w:pPr>
              <w:jc w:val="center"/>
            </w:pPr>
            <w:r>
              <w:rPr>
                <w:rFonts w:hint="eastAsia" w:ascii="宋体" w:hAnsi="宋体" w:cs="宋体"/>
              </w:rPr>
              <w:t>项目实施方案</w:t>
            </w:r>
          </w:p>
        </w:tc>
        <w:tc>
          <w:tcPr>
            <w:tcW w:w="709" w:type="dxa"/>
            <w:tcBorders>
              <w:top w:val="single" w:color="auto" w:sz="6" w:space="0"/>
              <w:left w:val="single" w:color="auto" w:sz="6" w:space="0"/>
              <w:bottom w:val="single" w:color="auto" w:sz="4" w:space="0"/>
              <w:right w:val="single" w:color="auto" w:sz="6" w:space="0"/>
            </w:tcBorders>
            <w:vAlign w:val="center"/>
          </w:tcPr>
          <w:p w14:paraId="519A6FEE">
            <w:pPr>
              <w:jc w:val="center"/>
              <w:rPr>
                <w:rFonts w:hint="eastAsia" w:eastAsia="宋体"/>
                <w:lang w:eastAsia="zh-CN"/>
              </w:rPr>
            </w:pPr>
            <w:r>
              <w:rPr>
                <w:rFonts w:hint="eastAsia"/>
                <w:lang w:val="en-US" w:eastAsia="zh-CN"/>
              </w:rPr>
              <w:t>5</w:t>
            </w:r>
          </w:p>
        </w:tc>
        <w:tc>
          <w:tcPr>
            <w:tcW w:w="8930" w:type="dxa"/>
            <w:tcBorders>
              <w:top w:val="single" w:color="auto" w:sz="6" w:space="0"/>
              <w:left w:val="single" w:color="auto" w:sz="6" w:space="0"/>
              <w:bottom w:val="single" w:color="auto" w:sz="6" w:space="0"/>
              <w:right w:val="single" w:color="auto" w:sz="6" w:space="0"/>
            </w:tcBorders>
            <w:vAlign w:val="center"/>
          </w:tcPr>
          <w:p w14:paraId="3DDBFE33">
            <w:pPr>
              <w:ind w:left="-77" w:leftChars="-37" w:right="-73" w:rightChars="-35"/>
              <w:jc w:val="left"/>
            </w:pPr>
            <w:r>
              <w:rPr>
                <w:rFonts w:hint="eastAsia"/>
              </w:rPr>
              <w:t>1）项目实施方案全面、可行、合理、具体得</w:t>
            </w:r>
            <w:r>
              <w:rPr>
                <w:rFonts w:hint="eastAsia"/>
                <w:lang w:val="en-US" w:eastAsia="zh-CN"/>
              </w:rPr>
              <w:t>5</w:t>
            </w:r>
            <w:r>
              <w:rPr>
                <w:rFonts w:hint="eastAsia"/>
              </w:rPr>
              <w:t>分；</w:t>
            </w:r>
          </w:p>
          <w:p w14:paraId="63992100">
            <w:pPr>
              <w:ind w:left="-77" w:leftChars="-37" w:right="-73" w:rightChars="-35"/>
              <w:jc w:val="left"/>
            </w:pPr>
            <w:r>
              <w:t>2</w:t>
            </w:r>
            <w:r>
              <w:rPr>
                <w:rFonts w:hint="eastAsia"/>
              </w:rPr>
              <w:t>）项目实施方案一般全面、可行、合理、具体得</w:t>
            </w:r>
            <w:r>
              <w:rPr>
                <w:rFonts w:hint="eastAsia"/>
                <w:lang w:val="en-US" w:eastAsia="zh-CN"/>
              </w:rPr>
              <w:t>3</w:t>
            </w:r>
            <w:r>
              <w:rPr>
                <w:rFonts w:hint="eastAsia"/>
              </w:rPr>
              <w:t>分；</w:t>
            </w:r>
          </w:p>
          <w:p w14:paraId="0E57930D">
            <w:pPr>
              <w:ind w:left="-77" w:leftChars="-37" w:right="-73" w:rightChars="-35"/>
              <w:jc w:val="left"/>
            </w:pPr>
            <w:r>
              <w:t>3</w:t>
            </w:r>
            <w:r>
              <w:rPr>
                <w:rFonts w:hint="eastAsia"/>
              </w:rPr>
              <w:t>）项目实施方案较差、缺乏可行性、合理性不足、不够具体得</w:t>
            </w:r>
            <w:r>
              <w:rPr>
                <w:rFonts w:hint="eastAsia"/>
                <w:lang w:val="en-US" w:eastAsia="zh-CN"/>
              </w:rPr>
              <w:t>1</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14:paraId="26E70472">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3F59A555">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57112402">
            <w:pPr>
              <w:rPr>
                <w:rFonts w:ascii="宋体" w:hAnsi="宋体" w:cs="宋体"/>
              </w:rPr>
            </w:pPr>
          </w:p>
        </w:tc>
      </w:tr>
      <w:tr w14:paraId="12832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14:paraId="26E2A5DC">
            <w:pPr>
              <w:jc w:val="center"/>
            </w:pPr>
            <w:r>
              <w:rPr>
                <w:rFonts w:hint="eastAsia"/>
              </w:rPr>
              <w:t>2</w:t>
            </w:r>
          </w:p>
        </w:tc>
        <w:tc>
          <w:tcPr>
            <w:tcW w:w="1559" w:type="dxa"/>
            <w:tcBorders>
              <w:top w:val="single" w:color="auto" w:sz="6" w:space="0"/>
              <w:left w:val="single" w:color="auto" w:sz="6" w:space="0"/>
              <w:right w:val="single" w:color="auto" w:sz="6" w:space="0"/>
            </w:tcBorders>
            <w:vAlign w:val="center"/>
          </w:tcPr>
          <w:p w14:paraId="3F24136E">
            <w:pPr>
              <w:jc w:val="center"/>
            </w:pPr>
            <w:r>
              <w:rPr>
                <w:rFonts w:hint="eastAsia" w:ascii="宋体" w:hAnsi="宋体" w:cs="宋体"/>
              </w:rPr>
              <w:t>质量保证措施、验收标准</w:t>
            </w:r>
          </w:p>
        </w:tc>
        <w:tc>
          <w:tcPr>
            <w:tcW w:w="709" w:type="dxa"/>
            <w:tcBorders>
              <w:top w:val="single" w:color="auto" w:sz="6" w:space="0"/>
              <w:left w:val="single" w:color="auto" w:sz="6" w:space="0"/>
              <w:bottom w:val="single" w:color="auto" w:sz="4" w:space="0"/>
              <w:right w:val="single" w:color="auto" w:sz="6" w:space="0"/>
            </w:tcBorders>
            <w:vAlign w:val="center"/>
          </w:tcPr>
          <w:p w14:paraId="22041F67">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4" w:space="0"/>
              <w:right w:val="single" w:color="auto" w:sz="6" w:space="0"/>
            </w:tcBorders>
            <w:vAlign w:val="center"/>
          </w:tcPr>
          <w:p w14:paraId="795D6BAD">
            <w:pPr>
              <w:widowControl/>
              <w:spacing w:line="240" w:lineRule="exact"/>
              <w:jc w:val="left"/>
              <w:rPr>
                <w:rFonts w:ascii="宋体" w:hAnsi="宋体" w:cs="宋体"/>
                <w:kern w:val="0"/>
                <w:lang w:val="zh-CN"/>
              </w:rPr>
            </w:pPr>
            <w:r>
              <w:rPr>
                <w:rFonts w:hint="eastAsia" w:ascii="宋体" w:hAnsi="宋体" w:cs="宋体"/>
                <w:kern w:val="0"/>
              </w:rPr>
              <w:t>1）</w:t>
            </w:r>
            <w:r>
              <w:rPr>
                <w:rFonts w:hint="eastAsia" w:ascii="宋体" w:hAnsi="宋体" w:cs="宋体"/>
                <w:kern w:val="0"/>
                <w:lang w:val="zh-CN"/>
              </w:rPr>
              <w:t>质量保证措施可行、验收标准有效得</w:t>
            </w:r>
            <w:r>
              <w:rPr>
                <w:rFonts w:hint="eastAsia" w:ascii="宋体" w:hAnsi="宋体" w:cs="宋体"/>
                <w:kern w:val="0"/>
                <w:lang w:val="en-US" w:eastAsia="zh-CN"/>
              </w:rPr>
              <w:t>10</w:t>
            </w:r>
            <w:r>
              <w:rPr>
                <w:rFonts w:hint="eastAsia" w:ascii="宋体" w:hAnsi="宋体" w:cs="宋体"/>
                <w:kern w:val="0"/>
                <w:lang w:val="zh-CN"/>
              </w:rPr>
              <w:t>分；</w:t>
            </w:r>
          </w:p>
          <w:p w14:paraId="3B8CAC63">
            <w:pPr>
              <w:widowControl/>
              <w:spacing w:line="240" w:lineRule="exact"/>
              <w:jc w:val="left"/>
              <w:rPr>
                <w:rFonts w:ascii="宋体" w:hAnsi="宋体" w:cs="宋体"/>
                <w:kern w:val="0"/>
                <w:lang w:val="zh-CN"/>
              </w:rPr>
            </w:pPr>
            <w:r>
              <w:rPr>
                <w:rFonts w:ascii="宋体" w:hAnsi="宋体" w:cs="宋体"/>
                <w:kern w:val="0"/>
              </w:rPr>
              <w:t>2</w:t>
            </w:r>
            <w:r>
              <w:rPr>
                <w:rFonts w:hint="eastAsia" w:ascii="宋体" w:hAnsi="宋体" w:cs="宋体"/>
                <w:kern w:val="0"/>
              </w:rPr>
              <w:t>）</w:t>
            </w:r>
            <w:r>
              <w:rPr>
                <w:rFonts w:hint="eastAsia" w:ascii="宋体" w:hAnsi="宋体" w:cs="宋体"/>
                <w:kern w:val="0"/>
                <w:lang w:val="zh-CN"/>
              </w:rPr>
              <w:t>质量保证措施一般、验收标准一般有效得</w:t>
            </w:r>
            <w:r>
              <w:rPr>
                <w:rFonts w:hint="eastAsia" w:ascii="宋体" w:hAnsi="宋体" w:cs="宋体"/>
                <w:kern w:val="0"/>
                <w:lang w:val="en-US" w:eastAsia="zh-CN"/>
              </w:rPr>
              <w:t>5</w:t>
            </w:r>
            <w:r>
              <w:rPr>
                <w:rFonts w:hint="eastAsia" w:ascii="宋体" w:hAnsi="宋体" w:cs="宋体"/>
                <w:kern w:val="0"/>
                <w:lang w:val="zh-CN"/>
              </w:rPr>
              <w:t>分；</w:t>
            </w:r>
          </w:p>
          <w:p w14:paraId="5F006265">
            <w:pPr>
              <w:jc w:val="left"/>
              <w:rPr>
                <w:rFonts w:ascii="宋体" w:hAnsi="宋体" w:cs="宋体"/>
              </w:rPr>
            </w:pPr>
            <w:r>
              <w:rPr>
                <w:rFonts w:ascii="宋体" w:hAnsi="宋体" w:cs="宋体"/>
                <w:kern w:val="0"/>
              </w:rPr>
              <w:t>3</w:t>
            </w:r>
            <w:r>
              <w:rPr>
                <w:rFonts w:hint="eastAsia" w:ascii="宋体" w:hAnsi="宋体" w:cs="宋体"/>
                <w:kern w:val="0"/>
              </w:rPr>
              <w:t>）</w:t>
            </w:r>
            <w:r>
              <w:rPr>
                <w:rFonts w:hint="eastAsia" w:ascii="宋体" w:hAnsi="宋体" w:cs="宋体"/>
                <w:kern w:val="0"/>
                <w:lang w:val="zh-CN"/>
              </w:rPr>
              <w:t>质量保证措施较差、验收标准存在不合理得</w:t>
            </w:r>
            <w:r>
              <w:rPr>
                <w:rFonts w:hint="eastAsia" w:ascii="宋体" w:hAnsi="宋体" w:cs="宋体"/>
                <w:kern w:val="0"/>
                <w:lang w:val="en-US" w:eastAsia="zh-CN"/>
              </w:rPr>
              <w:t>2</w:t>
            </w:r>
            <w:r>
              <w:rPr>
                <w:rFonts w:hint="eastAsia" w:ascii="宋体" w:hAnsi="宋体" w:cs="宋体"/>
                <w:kern w:val="0"/>
                <w:lang w:val="zh-CN"/>
              </w:rPr>
              <w:t>分。</w:t>
            </w:r>
          </w:p>
        </w:tc>
        <w:tc>
          <w:tcPr>
            <w:tcW w:w="1276" w:type="dxa"/>
            <w:tcBorders>
              <w:top w:val="single" w:color="auto" w:sz="6" w:space="0"/>
              <w:left w:val="single" w:color="auto" w:sz="6" w:space="0"/>
              <w:bottom w:val="single" w:color="auto" w:sz="4" w:space="0"/>
              <w:right w:val="single" w:color="auto" w:sz="6" w:space="0"/>
            </w:tcBorders>
            <w:vAlign w:val="center"/>
          </w:tcPr>
          <w:p w14:paraId="3BE58FC0">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2B5F05EA">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6B96ACE4">
            <w:pPr>
              <w:rPr>
                <w:rFonts w:ascii="宋体" w:hAnsi="宋体" w:cs="宋体"/>
              </w:rPr>
            </w:pPr>
          </w:p>
        </w:tc>
      </w:tr>
      <w:tr w14:paraId="13FEE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486" w:type="dxa"/>
            <w:tcBorders>
              <w:top w:val="single" w:color="auto" w:sz="6" w:space="0"/>
              <w:left w:val="double" w:color="auto" w:sz="4" w:space="0"/>
              <w:right w:val="single" w:color="auto" w:sz="6" w:space="0"/>
            </w:tcBorders>
            <w:vAlign w:val="center"/>
          </w:tcPr>
          <w:p w14:paraId="51B7636C">
            <w:pPr>
              <w:jc w:val="center"/>
            </w:pPr>
            <w:r>
              <w:t>3</w:t>
            </w:r>
          </w:p>
        </w:tc>
        <w:tc>
          <w:tcPr>
            <w:tcW w:w="1559" w:type="dxa"/>
            <w:tcBorders>
              <w:top w:val="single" w:color="auto" w:sz="6" w:space="0"/>
              <w:left w:val="single" w:color="auto" w:sz="6" w:space="0"/>
              <w:right w:val="single" w:color="auto" w:sz="6" w:space="0"/>
            </w:tcBorders>
            <w:vAlign w:val="center"/>
          </w:tcPr>
          <w:p w14:paraId="597AFCF3">
            <w:pPr>
              <w:jc w:val="center"/>
            </w:pPr>
            <w:r>
              <w:rPr>
                <w:rFonts w:hint="eastAsia"/>
              </w:rPr>
              <w:t>技术响应</w:t>
            </w:r>
          </w:p>
        </w:tc>
        <w:tc>
          <w:tcPr>
            <w:tcW w:w="709" w:type="dxa"/>
            <w:tcBorders>
              <w:top w:val="single" w:color="auto" w:sz="6" w:space="0"/>
              <w:left w:val="single" w:color="auto" w:sz="6" w:space="0"/>
              <w:bottom w:val="single" w:color="auto" w:sz="4" w:space="0"/>
              <w:right w:val="single" w:color="auto" w:sz="6" w:space="0"/>
            </w:tcBorders>
            <w:vAlign w:val="center"/>
          </w:tcPr>
          <w:p w14:paraId="60050AF2">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4" w:space="0"/>
              <w:right w:val="single" w:color="auto" w:sz="6" w:space="0"/>
            </w:tcBorders>
            <w:vAlign w:val="center"/>
          </w:tcPr>
          <w:p w14:paraId="757D3C83">
            <w:pPr>
              <w:jc w:val="left"/>
            </w:pPr>
            <w:r>
              <w:rPr>
                <w:rFonts w:hint="eastAsia" w:ascii="宋体" w:hAnsi="宋体" w:cs="宋体"/>
              </w:rPr>
              <w:t>不满足招标文件技术要求的为负偏离，带“</w:t>
            </w:r>
            <w:bookmarkStart w:id="64" w:name="_Hlk26879839"/>
            <w:r>
              <w:rPr>
                <w:rFonts w:hint="eastAsia" w:cs="Arial"/>
                <w:color w:val="000000"/>
                <w:shd w:val="clear" w:color="auto" w:fill="FFFFFF"/>
              </w:rPr>
              <w:t>▲</w:t>
            </w:r>
            <w:bookmarkEnd w:id="64"/>
            <w:r>
              <w:rPr>
                <w:rFonts w:hint="eastAsia" w:ascii="宋体" w:hAnsi="宋体" w:cs="宋体"/>
              </w:rPr>
              <w:t>”负偏离有</w:t>
            </w:r>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r>
              <w:rPr>
                <w:rFonts w:hint="eastAsia" w:ascii="宋体" w:hAnsi="宋体" w:cs="宋体"/>
              </w:rPr>
              <w:t>扣完为止。</w:t>
            </w:r>
          </w:p>
        </w:tc>
        <w:tc>
          <w:tcPr>
            <w:tcW w:w="1276" w:type="dxa"/>
            <w:tcBorders>
              <w:top w:val="single" w:color="auto" w:sz="6" w:space="0"/>
              <w:left w:val="single" w:color="auto" w:sz="6" w:space="0"/>
              <w:bottom w:val="single" w:color="auto" w:sz="4" w:space="0"/>
              <w:right w:val="single" w:color="auto" w:sz="6" w:space="0"/>
            </w:tcBorders>
            <w:vAlign w:val="center"/>
          </w:tcPr>
          <w:p w14:paraId="457EDFCC">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6A293526">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1CC2F361">
            <w:pPr>
              <w:rPr>
                <w:rFonts w:ascii="宋体" w:hAnsi="宋体" w:cs="宋体"/>
              </w:rPr>
            </w:pPr>
          </w:p>
        </w:tc>
      </w:tr>
      <w:tr w14:paraId="3BF89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86" w:type="dxa"/>
            <w:tcBorders>
              <w:top w:val="single" w:color="auto" w:sz="6" w:space="0"/>
              <w:left w:val="double" w:color="auto" w:sz="4" w:space="0"/>
              <w:right w:val="single" w:color="auto" w:sz="6" w:space="0"/>
            </w:tcBorders>
            <w:vAlign w:val="center"/>
          </w:tcPr>
          <w:p w14:paraId="500174D3">
            <w:pPr>
              <w:jc w:val="center"/>
            </w:pPr>
            <w:r>
              <w:t>4</w:t>
            </w:r>
          </w:p>
        </w:tc>
        <w:tc>
          <w:tcPr>
            <w:tcW w:w="1559" w:type="dxa"/>
            <w:tcBorders>
              <w:top w:val="single" w:color="auto" w:sz="6" w:space="0"/>
              <w:left w:val="single" w:color="auto" w:sz="6" w:space="0"/>
              <w:right w:val="single" w:color="auto" w:sz="6" w:space="0"/>
            </w:tcBorders>
            <w:vAlign w:val="center"/>
          </w:tcPr>
          <w:p w14:paraId="65093FCA">
            <w:pPr>
              <w:jc w:val="center"/>
            </w:pPr>
            <w:r>
              <w:rPr>
                <w:rFonts w:hint="eastAsia"/>
              </w:rPr>
              <w:t>综合实力与信誉</w:t>
            </w:r>
          </w:p>
        </w:tc>
        <w:tc>
          <w:tcPr>
            <w:tcW w:w="709" w:type="dxa"/>
            <w:tcBorders>
              <w:top w:val="single" w:color="auto" w:sz="6" w:space="0"/>
              <w:left w:val="single" w:color="auto" w:sz="6" w:space="0"/>
              <w:bottom w:val="single" w:color="auto" w:sz="4" w:space="0"/>
              <w:right w:val="single" w:color="auto" w:sz="6" w:space="0"/>
            </w:tcBorders>
            <w:vAlign w:val="center"/>
          </w:tcPr>
          <w:p w14:paraId="59263219">
            <w:pPr>
              <w:jc w:val="center"/>
              <w:rPr>
                <w:rFonts w:hint="default" w:eastAsia="宋体"/>
                <w:lang w:val="en-US" w:eastAsia="zh-CN"/>
              </w:rPr>
            </w:pPr>
            <w:r>
              <w:rPr>
                <w:rFonts w:hint="eastAsia"/>
                <w:lang w:val="en-US" w:eastAsia="zh-CN"/>
              </w:rPr>
              <w:t>15</w:t>
            </w:r>
          </w:p>
        </w:tc>
        <w:tc>
          <w:tcPr>
            <w:tcW w:w="8930" w:type="dxa"/>
            <w:tcBorders>
              <w:top w:val="single" w:color="auto" w:sz="6" w:space="0"/>
              <w:left w:val="single" w:color="auto" w:sz="6" w:space="0"/>
              <w:bottom w:val="single" w:color="auto" w:sz="4" w:space="0"/>
              <w:right w:val="single" w:color="auto" w:sz="6" w:space="0"/>
            </w:tcBorders>
            <w:vAlign w:val="center"/>
          </w:tcPr>
          <w:p w14:paraId="2F6BAAD8">
            <w:pPr>
              <w:jc w:val="left"/>
              <w:rPr>
                <w:rFonts w:ascii="宋体" w:hAnsi="宋体"/>
              </w:rPr>
            </w:pPr>
            <w:r>
              <w:rPr>
                <w:rFonts w:hint="eastAsia" w:ascii="宋体" w:hAnsi="宋体" w:cs="宋体"/>
              </w:rPr>
              <w:t>投标人具有“</w:t>
            </w:r>
            <w:r>
              <w:rPr>
                <w:rFonts w:hint="eastAsia" w:ascii="宋体" w:hAnsi="宋体" w:cs="宋体"/>
                <w:lang w:val="en-US" w:eastAsia="zh-CN"/>
              </w:rPr>
              <w:t>1.</w:t>
            </w:r>
            <w:r>
              <w:rPr>
                <w:rFonts w:hint="eastAsia" w:ascii="宋体" w:hAnsi="宋体" w:cs="宋体"/>
              </w:rPr>
              <w:t>ISO9001质量管理体系认证证书</w:t>
            </w:r>
            <w:r>
              <w:rPr>
                <w:rFonts w:hint="eastAsia" w:ascii="宋体" w:hAnsi="宋体" w:cs="宋体"/>
                <w:lang w:val="en-US" w:eastAsia="zh-CN"/>
              </w:rPr>
              <w:t>；2.</w:t>
            </w:r>
            <w:r>
              <w:rPr>
                <w:rFonts w:hint="eastAsia" w:ascii="宋体" w:hAnsi="宋体" w:cs="宋体"/>
              </w:rPr>
              <w:t>环境管理体系认证证书</w:t>
            </w:r>
            <w:r>
              <w:rPr>
                <w:rFonts w:hint="eastAsia" w:ascii="宋体" w:hAnsi="宋体" w:cs="宋体"/>
                <w:lang w:val="en-US" w:eastAsia="zh-CN"/>
              </w:rPr>
              <w:t>；3、</w:t>
            </w:r>
            <w:r>
              <w:rPr>
                <w:rFonts w:hint="eastAsia" w:ascii="宋体" w:hAnsi="宋体" w:cs="宋体"/>
              </w:rPr>
              <w:t>职业健康安全管理体系认证证书</w:t>
            </w:r>
            <w:r>
              <w:rPr>
                <w:rFonts w:hint="eastAsia" w:ascii="宋体" w:hAnsi="宋体" w:cs="宋体"/>
                <w:lang w:val="en-US" w:eastAsia="zh-CN"/>
              </w:rPr>
              <w:t>；每提供一项证明材料得5</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最高得15分</w:t>
            </w:r>
            <w:r>
              <w:rPr>
                <w:rFonts w:hint="eastAsia" w:ascii="宋体" w:hAnsi="宋体" w:cs="宋体"/>
              </w:rPr>
              <w:t>。（ 提供证明材料复印件加盖公章）。</w:t>
            </w:r>
          </w:p>
        </w:tc>
        <w:tc>
          <w:tcPr>
            <w:tcW w:w="1276" w:type="dxa"/>
            <w:tcBorders>
              <w:top w:val="single" w:color="auto" w:sz="6" w:space="0"/>
              <w:left w:val="single" w:color="auto" w:sz="6" w:space="0"/>
              <w:bottom w:val="single" w:color="auto" w:sz="4" w:space="0"/>
              <w:right w:val="single" w:color="auto" w:sz="6" w:space="0"/>
            </w:tcBorders>
            <w:vAlign w:val="center"/>
          </w:tcPr>
          <w:p w14:paraId="7F15C56B">
            <w:pPr>
              <w:jc w:val="cente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3985C514">
            <w:pPr>
              <w:jc w:val="cente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7A6B4DAF">
            <w:pPr>
              <w:jc w:val="center"/>
              <w:rPr>
                <w:rFonts w:ascii="宋体" w:hAnsi="宋体" w:cs="宋体"/>
              </w:rPr>
            </w:pPr>
          </w:p>
        </w:tc>
      </w:tr>
      <w:tr w14:paraId="468F8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0E21CFDE">
            <w:pPr>
              <w:ind w:firstLine="1260" w:firstLineChars="600"/>
              <w:jc w:val="center"/>
            </w:pPr>
            <w:r>
              <w:rPr>
                <w:rFonts w:hint="eastAsia"/>
              </w:rPr>
              <w:t>4</w:t>
            </w:r>
            <w:r>
              <w:t>5</w:t>
            </w:r>
          </w:p>
        </w:tc>
        <w:tc>
          <w:tcPr>
            <w:tcW w:w="1559" w:type="dxa"/>
            <w:tcBorders>
              <w:top w:val="single" w:color="auto" w:sz="4" w:space="0"/>
              <w:left w:val="single" w:color="auto" w:sz="6" w:space="0"/>
              <w:bottom w:val="single" w:color="auto" w:sz="4" w:space="0"/>
              <w:right w:val="single" w:color="auto" w:sz="6" w:space="0"/>
            </w:tcBorders>
            <w:vAlign w:val="center"/>
          </w:tcPr>
          <w:p w14:paraId="3C91A8C5">
            <w:pPr>
              <w:jc w:val="center"/>
            </w:pPr>
            <w:r>
              <w:rPr>
                <w:rFonts w:hint="eastAsia"/>
              </w:rPr>
              <w:t>同类业绩</w:t>
            </w:r>
          </w:p>
        </w:tc>
        <w:tc>
          <w:tcPr>
            <w:tcW w:w="709" w:type="dxa"/>
            <w:tcBorders>
              <w:top w:val="single" w:color="auto" w:sz="6" w:space="0"/>
              <w:left w:val="single" w:color="auto" w:sz="6" w:space="0"/>
              <w:bottom w:val="single" w:color="auto" w:sz="6" w:space="0"/>
              <w:right w:val="single" w:color="auto" w:sz="6" w:space="0"/>
            </w:tcBorders>
            <w:vAlign w:val="center"/>
          </w:tcPr>
          <w:p w14:paraId="08909E9D">
            <w:pPr>
              <w:jc w:val="center"/>
              <w:rPr>
                <w:rFonts w:hint="default" w:eastAsia="宋体"/>
                <w:lang w:val="en-US" w:eastAsia="zh-CN"/>
              </w:rPr>
            </w:pPr>
            <w:r>
              <w:rPr>
                <w:rFonts w:hint="eastAsia"/>
                <w:lang w:val="en-US" w:eastAsia="zh-CN"/>
              </w:rPr>
              <w:t>15</w:t>
            </w:r>
          </w:p>
        </w:tc>
        <w:tc>
          <w:tcPr>
            <w:tcW w:w="8930" w:type="dxa"/>
            <w:tcBorders>
              <w:top w:val="single" w:color="auto" w:sz="6" w:space="0"/>
              <w:left w:val="single" w:color="auto" w:sz="6" w:space="0"/>
              <w:bottom w:val="single" w:color="auto" w:sz="6" w:space="0"/>
              <w:right w:val="single" w:color="auto" w:sz="6" w:space="0"/>
            </w:tcBorders>
            <w:vAlign w:val="center"/>
          </w:tcPr>
          <w:p w14:paraId="4E3002EA">
            <w:pPr>
              <w:jc w:val="left"/>
              <w:rPr>
                <w:color w:val="000000"/>
              </w:rPr>
            </w:pPr>
            <w:r>
              <w:rPr>
                <w:rFonts w:hint="eastAsia"/>
                <w:color w:val="000000"/>
                <w:lang w:val="en-US" w:eastAsia="zh-CN"/>
              </w:rPr>
              <w:t>2022</w:t>
            </w:r>
            <w:r>
              <w:rPr>
                <w:rFonts w:hint="eastAsia"/>
                <w:color w:val="000000"/>
              </w:rPr>
              <w:t>年以来投标人具有同类项目的业绩，每提供一份业绩得</w:t>
            </w:r>
            <w:r>
              <w:rPr>
                <w:rFonts w:hint="eastAsia"/>
                <w:color w:val="000000"/>
                <w:lang w:val="en-US" w:eastAsia="zh-CN"/>
              </w:rPr>
              <w:t>1</w:t>
            </w:r>
            <w:r>
              <w:rPr>
                <w:rFonts w:hint="eastAsia"/>
                <w:color w:val="000000"/>
              </w:rPr>
              <w:t>分，最高得</w:t>
            </w:r>
            <w:r>
              <w:rPr>
                <w:rFonts w:hint="eastAsia"/>
                <w:color w:val="000000"/>
                <w:lang w:val="en-US" w:eastAsia="zh-CN"/>
              </w:rPr>
              <w:t>15</w:t>
            </w:r>
            <w:r>
              <w:rPr>
                <w:rFonts w:hint="eastAsia"/>
                <w:color w:val="000000"/>
              </w:rPr>
              <w:t>分。</w:t>
            </w:r>
          </w:p>
          <w:p w14:paraId="7C43CDE4">
            <w:pPr>
              <w:jc w:val="left"/>
            </w:pPr>
            <w:r>
              <w:rPr>
                <w:rFonts w:hint="eastAsia"/>
                <w:color w:val="000000"/>
              </w:rPr>
              <w:t>注：以合同签订时间为准，须提供业绩合同复印件加盖公章</w:t>
            </w:r>
            <w:r>
              <w:rPr>
                <w:rFonts w:hint="eastAsia"/>
                <w:color w:val="000000"/>
                <w:lang w:eastAsia="zh-CN"/>
              </w:rPr>
              <w:t>，</w:t>
            </w:r>
            <w:r>
              <w:rPr>
                <w:rFonts w:hint="eastAsia"/>
                <w:color w:val="000000"/>
              </w:rPr>
              <w:t>不提供不得分。</w:t>
            </w:r>
          </w:p>
        </w:tc>
        <w:tc>
          <w:tcPr>
            <w:tcW w:w="1276" w:type="dxa"/>
            <w:tcBorders>
              <w:top w:val="single" w:color="auto" w:sz="6" w:space="0"/>
              <w:left w:val="single" w:color="auto" w:sz="6" w:space="0"/>
              <w:bottom w:val="single" w:color="auto" w:sz="6" w:space="0"/>
              <w:right w:val="single" w:color="auto" w:sz="6" w:space="0"/>
            </w:tcBorders>
            <w:vAlign w:val="center"/>
          </w:tcPr>
          <w:p w14:paraId="079F26B0">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69520644">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59AE3F37">
            <w:pPr>
              <w:rPr>
                <w:rFonts w:ascii="宋体" w:hAnsi="宋体" w:cs="宋体"/>
              </w:rPr>
            </w:pPr>
          </w:p>
        </w:tc>
      </w:tr>
      <w:tr w14:paraId="128E5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07D7B190">
            <w:pPr>
              <w:ind w:firstLine="1260" w:firstLineChars="600"/>
              <w:jc w:val="center"/>
              <w:rPr>
                <w:rFonts w:hint="eastAsia" w:eastAsia="宋体"/>
                <w:lang w:eastAsia="zh-CN"/>
              </w:rPr>
            </w:pPr>
            <w:r>
              <w:rPr>
                <w:rFonts w:hint="eastAsia"/>
              </w:rPr>
              <w:t>6</w:t>
            </w:r>
            <w:r>
              <w:rPr>
                <w:rFonts w:hint="eastAsia"/>
                <w:lang w:val="en-US" w:eastAsia="zh-CN"/>
              </w:rPr>
              <w:t>6</w:t>
            </w:r>
          </w:p>
        </w:tc>
        <w:tc>
          <w:tcPr>
            <w:tcW w:w="1559" w:type="dxa"/>
            <w:tcBorders>
              <w:top w:val="single" w:color="auto" w:sz="4" w:space="0"/>
              <w:left w:val="single" w:color="auto" w:sz="6" w:space="0"/>
              <w:bottom w:val="single" w:color="auto" w:sz="4" w:space="0"/>
              <w:right w:val="single" w:color="auto" w:sz="6" w:space="0"/>
            </w:tcBorders>
            <w:vAlign w:val="center"/>
          </w:tcPr>
          <w:p w14:paraId="7C22CF42">
            <w:pPr>
              <w:jc w:val="center"/>
            </w:pPr>
            <w:r>
              <w:rPr>
                <w:rFonts w:hint="eastAsia" w:ascii="宋体" w:hAnsi="宋体" w:cs="宋体"/>
              </w:rPr>
              <w:t>售后服务能力</w:t>
            </w:r>
          </w:p>
        </w:tc>
        <w:tc>
          <w:tcPr>
            <w:tcW w:w="709" w:type="dxa"/>
            <w:tcBorders>
              <w:top w:val="single" w:color="auto" w:sz="6" w:space="0"/>
              <w:left w:val="single" w:color="auto" w:sz="6" w:space="0"/>
              <w:bottom w:val="single" w:color="auto" w:sz="6" w:space="0"/>
              <w:right w:val="single" w:color="auto" w:sz="6" w:space="0"/>
            </w:tcBorders>
            <w:vAlign w:val="center"/>
          </w:tcPr>
          <w:p w14:paraId="64E57C4D">
            <w:pPr>
              <w:jc w:val="center"/>
              <w:rPr>
                <w:rFonts w:hint="eastAsia" w:eastAsia="宋体"/>
                <w:lang w:eastAsia="zh-CN"/>
              </w:rPr>
            </w:pPr>
            <w:r>
              <w:rPr>
                <w:rFonts w:hint="eastAsia"/>
                <w:lang w:val="en-US" w:eastAsia="zh-CN"/>
              </w:rPr>
              <w:t>5</w:t>
            </w:r>
          </w:p>
        </w:tc>
        <w:tc>
          <w:tcPr>
            <w:tcW w:w="8930" w:type="dxa"/>
            <w:tcBorders>
              <w:top w:val="single" w:color="auto" w:sz="6" w:space="0"/>
              <w:left w:val="single" w:color="auto" w:sz="6" w:space="0"/>
              <w:bottom w:val="single" w:color="auto" w:sz="6" w:space="0"/>
              <w:right w:val="single" w:color="auto" w:sz="6" w:space="0"/>
            </w:tcBorders>
            <w:vAlign w:val="center"/>
          </w:tcPr>
          <w:p w14:paraId="674E78B8">
            <w:pPr>
              <w:ind w:left="-77" w:leftChars="-37" w:right="-73" w:rightChars="-35"/>
              <w:jc w:val="left"/>
            </w:pPr>
            <w:r>
              <w:rPr>
                <w:rFonts w:hint="eastAsia"/>
              </w:rPr>
              <w:t>优：</w:t>
            </w:r>
            <w:r>
              <w:rPr>
                <w:rFonts w:hint="eastAsia"/>
                <w:lang w:val="en-US" w:eastAsia="zh-CN"/>
              </w:rPr>
              <w:t>在</w:t>
            </w:r>
            <w:r>
              <w:rPr>
                <w:rFonts w:hint="eastAsia"/>
              </w:rPr>
              <w:t>中山市内有注册的售后服务点</w:t>
            </w:r>
            <w:r>
              <w:rPr>
                <w:rFonts w:hint="eastAsia"/>
                <w:lang w:eastAsia="zh-CN"/>
              </w:rPr>
              <w:t>，</w:t>
            </w:r>
            <w:r>
              <w:rPr>
                <w:rFonts w:hint="eastAsia"/>
              </w:rPr>
              <w:t>售后服务响应时间及时、专业、解决问题效率高，不影响正常工作，得5分；</w:t>
            </w:r>
          </w:p>
          <w:p w14:paraId="5075EC10">
            <w:pPr>
              <w:ind w:left="-77" w:leftChars="-37" w:right="-73" w:rightChars="-35"/>
              <w:jc w:val="left"/>
            </w:pPr>
            <w:r>
              <w:rPr>
                <w:rFonts w:hint="eastAsia"/>
              </w:rPr>
              <w:t>良：</w:t>
            </w:r>
            <w:r>
              <w:rPr>
                <w:rFonts w:hint="eastAsia"/>
                <w:lang w:val="en-US" w:eastAsia="zh-CN"/>
              </w:rPr>
              <w:t>在</w:t>
            </w:r>
            <w:r>
              <w:rPr>
                <w:rFonts w:hint="eastAsia"/>
              </w:rPr>
              <w:t>中山市内有注册的售后服务点</w:t>
            </w:r>
            <w:r>
              <w:rPr>
                <w:rFonts w:hint="eastAsia"/>
                <w:lang w:eastAsia="zh-CN"/>
              </w:rPr>
              <w:t>，</w:t>
            </w:r>
            <w:r>
              <w:rPr>
                <w:rFonts w:hint="eastAsia"/>
              </w:rPr>
              <w:t>售后服务基本满足，响应时间不及时、解决问题效率一般，影响正常工作，得</w:t>
            </w:r>
            <w:r>
              <w:rPr>
                <w:rFonts w:hint="eastAsia"/>
                <w:lang w:val="en-US" w:eastAsia="zh-CN"/>
              </w:rPr>
              <w:t>3</w:t>
            </w:r>
            <w:r>
              <w:rPr>
                <w:rFonts w:hint="eastAsia"/>
              </w:rPr>
              <w:t>分；</w:t>
            </w:r>
          </w:p>
          <w:p w14:paraId="0A5EEB8F">
            <w:pPr>
              <w:ind w:left="-77" w:leftChars="-37" w:right="-73" w:rightChars="-35"/>
              <w:jc w:val="left"/>
            </w:pPr>
            <w:r>
              <w:rPr>
                <w:rFonts w:hint="eastAsia"/>
              </w:rPr>
              <w:t>差：</w:t>
            </w:r>
            <w:r>
              <w:rPr>
                <w:rFonts w:hint="eastAsia"/>
                <w:lang w:val="en-US" w:eastAsia="zh-CN"/>
              </w:rPr>
              <w:t>在</w:t>
            </w:r>
            <w:r>
              <w:rPr>
                <w:rFonts w:hint="eastAsia"/>
              </w:rPr>
              <w:t>中山市内</w:t>
            </w:r>
            <w:r>
              <w:rPr>
                <w:rFonts w:hint="eastAsia"/>
                <w:lang w:val="en-US" w:eastAsia="zh-CN"/>
              </w:rPr>
              <w:t>无</w:t>
            </w:r>
            <w:r>
              <w:rPr>
                <w:rFonts w:hint="eastAsia"/>
              </w:rPr>
              <w:t>注册的售后服务点</w:t>
            </w:r>
            <w:r>
              <w:rPr>
                <w:rFonts w:hint="eastAsia"/>
                <w:lang w:eastAsia="zh-CN"/>
              </w:rPr>
              <w:t>，</w:t>
            </w:r>
            <w:r>
              <w:rPr>
                <w:rFonts w:hint="eastAsia"/>
              </w:rPr>
              <w:t>售后服务缺位，响应时间不及时、解决问题进度慢，严重影响正常工作，得</w:t>
            </w:r>
            <w:r>
              <w:rPr>
                <w:rFonts w:hint="eastAsia"/>
                <w:lang w:val="en-US" w:eastAsia="zh-CN"/>
              </w:rPr>
              <w:t>1</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14:paraId="5C3B049E">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4C129E80">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6F6D41CB">
            <w:pPr>
              <w:rPr>
                <w:rFonts w:ascii="宋体" w:hAnsi="宋体" w:cs="宋体"/>
              </w:rPr>
            </w:pPr>
          </w:p>
        </w:tc>
      </w:tr>
      <w:tr w14:paraId="1B6674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045" w:type="dxa"/>
            <w:gridSpan w:val="2"/>
            <w:tcBorders>
              <w:top w:val="single" w:color="auto" w:sz="6" w:space="0"/>
              <w:left w:val="double" w:color="auto" w:sz="4" w:space="0"/>
              <w:bottom w:val="double" w:color="auto" w:sz="4" w:space="0"/>
              <w:right w:val="single" w:color="auto" w:sz="6" w:space="0"/>
            </w:tcBorders>
            <w:vAlign w:val="center"/>
          </w:tcPr>
          <w:p w14:paraId="642F92C6">
            <w:pPr>
              <w:ind w:firstLine="210" w:firstLineChars="100"/>
              <w:jc w:val="center"/>
            </w:pPr>
            <w:r>
              <w:rPr>
                <w:rFonts w:hint="eastAsia"/>
              </w:rPr>
              <w:t>合计</w:t>
            </w:r>
          </w:p>
        </w:tc>
        <w:tc>
          <w:tcPr>
            <w:tcW w:w="709" w:type="dxa"/>
            <w:tcBorders>
              <w:top w:val="single" w:color="auto" w:sz="6" w:space="0"/>
              <w:left w:val="single" w:color="auto" w:sz="6" w:space="0"/>
              <w:bottom w:val="double" w:color="auto" w:sz="4" w:space="0"/>
              <w:right w:val="single" w:color="auto" w:sz="6" w:space="0"/>
            </w:tcBorders>
            <w:vAlign w:val="center"/>
          </w:tcPr>
          <w:p w14:paraId="035DF6C0">
            <w:pPr>
              <w:jc w:val="center"/>
              <w:rPr>
                <w:rFonts w:hint="default"/>
                <w:lang w:val="en-US"/>
              </w:rPr>
            </w:pPr>
            <w:r>
              <w:rPr>
                <w:rFonts w:hint="eastAsia"/>
                <w:lang w:val="en-US" w:eastAsia="zh-CN"/>
              </w:rPr>
              <w:t>60</w:t>
            </w:r>
          </w:p>
        </w:tc>
        <w:tc>
          <w:tcPr>
            <w:tcW w:w="8930" w:type="dxa"/>
            <w:tcBorders>
              <w:top w:val="single" w:color="auto" w:sz="4" w:space="0"/>
              <w:left w:val="single" w:color="auto" w:sz="6" w:space="0"/>
              <w:bottom w:val="double" w:color="auto" w:sz="4" w:space="0"/>
              <w:right w:val="single" w:color="auto" w:sz="6" w:space="0"/>
            </w:tcBorders>
            <w:vAlign w:val="center"/>
          </w:tcPr>
          <w:p w14:paraId="7CC2FDB8">
            <w:pPr>
              <w:ind w:firstLine="1260" w:firstLineChars="600"/>
            </w:pPr>
          </w:p>
        </w:tc>
        <w:tc>
          <w:tcPr>
            <w:tcW w:w="1276" w:type="dxa"/>
            <w:tcBorders>
              <w:top w:val="single" w:color="auto" w:sz="6" w:space="0"/>
              <w:left w:val="single" w:color="auto" w:sz="6" w:space="0"/>
              <w:bottom w:val="double" w:color="auto" w:sz="4" w:space="0"/>
              <w:right w:val="single" w:color="auto" w:sz="6" w:space="0"/>
            </w:tcBorders>
            <w:vAlign w:val="center"/>
          </w:tcPr>
          <w:p w14:paraId="1D1BC8F5">
            <w:pPr>
              <w:rPr>
                <w:rFonts w:ascii="宋体" w:hAnsi="宋体" w:cs="宋体"/>
              </w:rPr>
            </w:pPr>
          </w:p>
        </w:tc>
        <w:tc>
          <w:tcPr>
            <w:tcW w:w="1276" w:type="dxa"/>
            <w:tcBorders>
              <w:top w:val="single" w:color="auto" w:sz="6" w:space="0"/>
              <w:left w:val="single" w:color="auto" w:sz="6" w:space="0"/>
              <w:bottom w:val="double" w:color="auto" w:sz="4" w:space="0"/>
              <w:right w:val="single" w:color="auto" w:sz="6" w:space="0"/>
            </w:tcBorders>
            <w:vAlign w:val="center"/>
          </w:tcPr>
          <w:p w14:paraId="17D15A6B">
            <w:pPr>
              <w:rPr>
                <w:rFonts w:ascii="宋体" w:hAnsi="宋体" w:cs="宋体"/>
              </w:rPr>
            </w:pPr>
          </w:p>
        </w:tc>
        <w:tc>
          <w:tcPr>
            <w:tcW w:w="1134" w:type="dxa"/>
            <w:tcBorders>
              <w:top w:val="single" w:color="auto" w:sz="6" w:space="0"/>
              <w:left w:val="single" w:color="auto" w:sz="6" w:space="0"/>
              <w:bottom w:val="double" w:color="auto" w:sz="4" w:space="0"/>
              <w:right w:val="single" w:color="auto" w:sz="6" w:space="0"/>
            </w:tcBorders>
            <w:vAlign w:val="center"/>
          </w:tcPr>
          <w:p w14:paraId="5EB3E182">
            <w:pPr>
              <w:rPr>
                <w:rFonts w:ascii="宋体" w:hAnsi="宋体" w:cs="宋体"/>
              </w:rPr>
            </w:pPr>
          </w:p>
        </w:tc>
      </w:tr>
    </w:tbl>
    <w:p w14:paraId="14412DDB">
      <w:pPr>
        <w:pStyle w:val="34"/>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4"/>
        <w:ind w:firstLine="210"/>
        <w:rPr>
          <w:rFonts w:cs="Times New Roman"/>
        </w:rPr>
      </w:pPr>
    </w:p>
    <w:p w14:paraId="6953B2ED">
      <w:pPr>
        <w:rPr>
          <w:rFonts w:cs="Times New Roman"/>
        </w:rPr>
      </w:pPr>
    </w:p>
    <w:p w14:paraId="163CBE3A">
      <w:pPr>
        <w:pStyle w:val="2"/>
        <w:jc w:val="center"/>
        <w:rPr>
          <w:rFonts w:ascii="宋体"/>
          <w:b w:val="0"/>
          <w:bCs w:val="0"/>
        </w:rPr>
      </w:pPr>
      <w:bookmarkStart w:id="65" w:name="_Toc15294"/>
      <w:bookmarkStart w:id="66" w:name="_Toc19827"/>
      <w:r>
        <w:rPr>
          <w:rFonts w:hint="eastAsia" w:cs="宋体"/>
        </w:rPr>
        <w:t>第五章　合同格式</w:t>
      </w:r>
      <w:bookmarkEnd w:id="65"/>
      <w:bookmarkEnd w:id="66"/>
    </w:p>
    <w:p w14:paraId="6BF1659F">
      <w:pPr>
        <w:pStyle w:val="2"/>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2B744E5C">
        <w:tblPrEx>
          <w:tblCellMar>
            <w:top w:w="0" w:type="dxa"/>
            <w:left w:w="108" w:type="dxa"/>
            <w:bottom w:w="0" w:type="dxa"/>
            <w:right w:w="108" w:type="dxa"/>
          </w:tblCellMar>
        </w:tblPrEx>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7" w:name="_Hlk38299433"/>
      <w:r>
        <w:rPr>
          <w:rFonts w:hint="eastAsia" w:ascii="宋体" w:hAnsi="宋体" w:cs="宋体"/>
          <w:b/>
          <w:bCs/>
          <w:color w:val="auto"/>
        </w:rPr>
        <w:t>注：合同签订双方根据项目的具体要求进行修订，不作统一格式要求。</w:t>
      </w:r>
    </w:p>
    <w:bookmarkEnd w:id="67"/>
    <w:p w14:paraId="398EF7AB">
      <w:pPr>
        <w:spacing w:line="420" w:lineRule="exact"/>
        <w:rPr>
          <w:rFonts w:cs="Times New Roman"/>
        </w:rPr>
      </w:pPr>
    </w:p>
    <w:p w14:paraId="33BD94F9">
      <w:pPr>
        <w:pStyle w:val="2"/>
        <w:jc w:val="center"/>
      </w:pPr>
      <w:bookmarkStart w:id="68" w:name="_Toc15910"/>
      <w:bookmarkStart w:id="69" w:name="_Toc17126"/>
      <w:r>
        <w:rPr>
          <w:rFonts w:hint="eastAsia" w:cs="宋体"/>
        </w:rPr>
        <w:t>第六章　响应文件格式</w:t>
      </w:r>
      <w:bookmarkEnd w:id="68"/>
      <w:bookmarkEnd w:id="69"/>
    </w:p>
    <w:p w14:paraId="3ED27059">
      <w:pPr>
        <w:pStyle w:val="17"/>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7"/>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7"/>
        <w:tabs>
          <w:tab w:val="left" w:pos="1260"/>
        </w:tabs>
        <w:spacing w:line="360" w:lineRule="auto"/>
        <w:jc w:val="center"/>
        <w:rPr>
          <w:rFonts w:hAnsi="宋体" w:cs="Times New Roman"/>
          <w:b/>
          <w:bCs/>
          <w:spacing w:val="100"/>
          <w:w w:val="110"/>
          <w:kern w:val="0"/>
          <w:sz w:val="36"/>
          <w:szCs w:val="36"/>
        </w:rPr>
      </w:pPr>
    </w:p>
    <w:p w14:paraId="295502CF">
      <w:pPr>
        <w:pStyle w:val="17"/>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7"/>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7"/>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7"/>
        <w:spacing w:line="360" w:lineRule="auto"/>
        <w:jc w:val="center"/>
        <w:rPr>
          <w:rFonts w:hAnsi="宋体" w:cs="Times New Roman"/>
          <w:b/>
          <w:bCs/>
        </w:rPr>
      </w:pPr>
    </w:p>
    <w:p w14:paraId="3772A5F9">
      <w:pPr>
        <w:pStyle w:val="17"/>
        <w:spacing w:line="360" w:lineRule="auto"/>
        <w:jc w:val="center"/>
        <w:rPr>
          <w:rFonts w:hAnsi="宋体" w:cs="Times New Roman"/>
          <w:b/>
          <w:bCs/>
        </w:rPr>
      </w:pPr>
    </w:p>
    <w:p w14:paraId="79EE9DDF">
      <w:pPr>
        <w:pStyle w:val="15"/>
        <w:spacing w:line="360" w:lineRule="auto"/>
        <w:ind w:firstLine="967" w:firstLineChars="344"/>
        <w:rPr>
          <w:rFonts w:ascii="宋体"/>
          <w:b/>
          <w:bCs/>
          <w:sz w:val="28"/>
          <w:szCs w:val="28"/>
        </w:rPr>
      </w:pPr>
    </w:p>
    <w:p w14:paraId="0C7AEBDD">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7"/>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7"/>
        <w:spacing w:line="360" w:lineRule="auto"/>
        <w:ind w:firstLine="632" w:firstLineChars="300"/>
        <w:rPr>
          <w:rFonts w:hAnsi="宋体" w:cs="Times New Roman"/>
          <w:b/>
          <w:bCs/>
        </w:rPr>
      </w:pPr>
    </w:p>
    <w:p w14:paraId="0B5BC2C0">
      <w:pPr>
        <w:pStyle w:val="17"/>
        <w:spacing w:line="360" w:lineRule="auto"/>
        <w:rPr>
          <w:rFonts w:hAnsi="宋体" w:cs="Times New Roman"/>
          <w:b/>
          <w:bCs/>
        </w:rPr>
      </w:pPr>
    </w:p>
    <w:p w14:paraId="16CAEC26">
      <w:pPr>
        <w:pStyle w:val="17"/>
        <w:spacing w:line="360" w:lineRule="auto"/>
        <w:ind w:firstLine="632" w:firstLineChars="300"/>
        <w:rPr>
          <w:rFonts w:hAnsi="宋体" w:cs="Times New Roman"/>
          <w:b/>
          <w:bCs/>
        </w:rPr>
      </w:pPr>
    </w:p>
    <w:p w14:paraId="72412C17">
      <w:pPr>
        <w:pStyle w:val="17"/>
        <w:spacing w:line="360" w:lineRule="auto"/>
        <w:rPr>
          <w:rFonts w:hAnsi="宋体" w:cs="Times New Roman"/>
          <w:b/>
          <w:bCs/>
        </w:rPr>
      </w:pPr>
    </w:p>
    <w:p w14:paraId="3CA42FA4">
      <w:pPr>
        <w:pStyle w:val="17"/>
        <w:spacing w:line="360" w:lineRule="auto"/>
        <w:ind w:firstLine="632" w:firstLineChars="300"/>
        <w:rPr>
          <w:rFonts w:hAnsi="宋体" w:cs="Times New Roman"/>
          <w:b/>
          <w:bCs/>
        </w:rPr>
      </w:pPr>
    </w:p>
    <w:p w14:paraId="5ACFF755">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70" w:name="_Toc31068"/>
      <w:bookmarkStart w:id="71" w:name="_Toc27385"/>
      <w:r>
        <w:rPr>
          <w:rFonts w:hint="eastAsia" w:ascii="宋体" w:hAnsi="宋体" w:eastAsia="宋体" w:cs="宋体"/>
        </w:rPr>
        <w:t>报价函</w:t>
      </w:r>
      <w:bookmarkEnd w:id="70"/>
      <w:bookmarkEnd w:id="71"/>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6"/>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72"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8"/>
        <w:spacing w:line="600" w:lineRule="exact"/>
        <w:ind w:firstLine="422"/>
        <w:rPr>
          <w:rFonts w:ascii="宋体" w:cs="Times New Roman"/>
          <w:b/>
          <w:bCs/>
        </w:rPr>
      </w:pPr>
    </w:p>
    <w:p w14:paraId="17B102E7">
      <w:pPr>
        <w:pStyle w:val="14"/>
        <w:rPr>
          <w:rFonts w:ascii="宋体"/>
          <w:sz w:val="32"/>
          <w:szCs w:val="32"/>
        </w:rPr>
      </w:pPr>
    </w:p>
    <w:p w14:paraId="52AB43EC"/>
    <w:p w14:paraId="259DC92C">
      <w:pPr>
        <w:pStyle w:val="14"/>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2"/>
        <w:spacing w:line="360" w:lineRule="auto"/>
        <w:jc w:val="center"/>
        <w:rPr>
          <w:rFonts w:ascii="宋体"/>
          <w:sz w:val="21"/>
          <w:szCs w:val="21"/>
        </w:rPr>
      </w:pPr>
    </w:p>
    <w:p w14:paraId="77D1905E">
      <w:pPr>
        <w:rPr>
          <w:rFonts w:cs="Times New Roman"/>
        </w:rPr>
      </w:pPr>
    </w:p>
    <w:p w14:paraId="6985F867">
      <w:pPr>
        <w:pStyle w:val="2"/>
        <w:spacing w:line="360" w:lineRule="auto"/>
        <w:jc w:val="center"/>
        <w:rPr>
          <w:rFonts w:ascii="宋体"/>
        </w:rPr>
      </w:pPr>
      <w:r>
        <w:rPr>
          <w:rFonts w:hint="eastAsia" w:ascii="宋体" w:hAnsi="宋体" w:cs="宋体"/>
          <w:sz w:val="32"/>
          <w:szCs w:val="32"/>
        </w:rPr>
        <w:t>法定代表人授权委托书</w:t>
      </w:r>
      <w:bookmarkEnd w:id="72"/>
    </w:p>
    <w:p w14:paraId="7916F81B">
      <w:pPr>
        <w:spacing w:line="360" w:lineRule="auto"/>
        <w:rPr>
          <w:rFonts w:ascii="宋体" w:cs="Times New Roman"/>
        </w:rPr>
      </w:pPr>
      <w:bookmarkStart w:id="73"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4"/>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2"/>
      </w:pPr>
    </w:p>
    <w:bookmarkEnd w:id="73"/>
    <w:p w14:paraId="07B63BE9">
      <w:pPr>
        <w:pStyle w:val="34"/>
        <w:ind w:firstLine="0" w:firstLineChars="0"/>
        <w:rPr>
          <w:rFonts w:cs="Times New Roman"/>
        </w:rPr>
      </w:pPr>
    </w:p>
    <w:p w14:paraId="3EFE16A7">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74"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14"/>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14"/>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14"/>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14"/>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14"/>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14"/>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14"/>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14"/>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14"/>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14"/>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14"/>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14"/>
        <w:spacing w:before="54" w:line="360" w:lineRule="auto"/>
        <w:ind w:left="420"/>
        <w:rPr>
          <w:rFonts w:ascii="宋体"/>
        </w:rPr>
      </w:pPr>
      <w:r>
        <w:rPr>
          <w:rFonts w:hint="eastAsia" w:ascii="宋体" w:hAnsi="宋体" w:cs="宋体"/>
        </w:rPr>
        <w:t>特此声明！</w:t>
      </w:r>
    </w:p>
    <w:p w14:paraId="4C5A88F2">
      <w:pPr>
        <w:pStyle w:val="14"/>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7"/>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7"/>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5" w:name="_Hlk38352089"/>
      <w:r>
        <w:rPr>
          <w:rFonts w:hint="eastAsia" w:ascii="宋体" w:hAnsi="宋体" w:cs="宋体"/>
        </w:rPr>
        <w:t>加盖公章</w:t>
      </w:r>
      <w:bookmarkEnd w:id="75"/>
      <w:r>
        <w:rPr>
          <w:rFonts w:hint="eastAsia" w:ascii="宋体" w:hAnsi="宋体" w:cs="宋体"/>
        </w:rPr>
        <w:t>；</w:t>
      </w:r>
    </w:p>
    <w:p w14:paraId="0CD8869F">
      <w:pPr>
        <w:numPr>
          <w:ilvl w:val="0"/>
          <w:numId w:val="67"/>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7"/>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7"/>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2"/>
        <w:rPr>
          <w:rFonts w:ascii="宋体"/>
          <w:b w:val="0"/>
          <w:bCs w:val="0"/>
        </w:rPr>
      </w:pPr>
    </w:p>
    <w:p w14:paraId="1562AFED">
      <w:pPr>
        <w:rPr>
          <w:rFonts w:ascii="宋体" w:cs="Times New Roman"/>
          <w:b/>
          <w:bCs/>
          <w:kern w:val="44"/>
        </w:rPr>
      </w:pPr>
    </w:p>
    <w:p w14:paraId="6E22791C">
      <w:pPr>
        <w:pStyle w:val="2"/>
        <w:rPr>
          <w:rFonts w:ascii="宋体"/>
          <w:b w:val="0"/>
          <w:bCs w:val="0"/>
        </w:rPr>
      </w:pPr>
    </w:p>
    <w:p w14:paraId="4B88FE45">
      <w:pPr>
        <w:rPr>
          <w:rFonts w:ascii="宋体" w:cs="Times New Roman"/>
          <w:b/>
          <w:bCs/>
          <w:kern w:val="44"/>
        </w:rPr>
      </w:pPr>
    </w:p>
    <w:p w14:paraId="782D94D1">
      <w:pPr>
        <w:pStyle w:val="2"/>
        <w:rPr>
          <w:rFonts w:ascii="宋体"/>
          <w:b w:val="0"/>
          <w:bCs w:val="0"/>
        </w:rPr>
      </w:pPr>
    </w:p>
    <w:p w14:paraId="18E0C4D6"/>
    <w:p w14:paraId="0209E133">
      <w:pPr>
        <w:pStyle w:val="34"/>
      </w:pPr>
    </w:p>
    <w:p w14:paraId="1B21BAE1">
      <w:pPr>
        <w:pStyle w:val="34"/>
      </w:pPr>
    </w:p>
    <w:p w14:paraId="58530E82">
      <w:pPr>
        <w:rPr>
          <w:rFonts w:ascii="宋体" w:cs="Times New Roman"/>
          <w:b/>
          <w:bCs/>
          <w:kern w:val="44"/>
        </w:rPr>
      </w:pPr>
    </w:p>
    <w:p w14:paraId="7521EB67">
      <w:pPr>
        <w:rPr>
          <w:rFonts w:cs="Times New Roman"/>
        </w:rPr>
      </w:pPr>
    </w:p>
    <w:p w14:paraId="752AD6C4">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2"/>
        <w:spacing w:line="360" w:lineRule="auto"/>
        <w:jc w:val="center"/>
        <w:rPr>
          <w:rFonts w:ascii="宋体"/>
          <w:kern w:val="2"/>
          <w:sz w:val="21"/>
          <w:szCs w:val="21"/>
        </w:rPr>
      </w:pPr>
    </w:p>
    <w:bookmarkEnd w:id="74"/>
    <w:p w14:paraId="1AE2DD20">
      <w:pPr>
        <w:spacing w:line="360" w:lineRule="auto"/>
        <w:rPr>
          <w:rFonts w:ascii="宋体" w:cs="Times New Roman"/>
          <w:b/>
          <w:bCs/>
        </w:rPr>
      </w:pPr>
    </w:p>
    <w:p w14:paraId="1D04FB7D">
      <w:pPr>
        <w:pStyle w:val="34"/>
      </w:pPr>
    </w:p>
    <w:p w14:paraId="3665DC47">
      <w:pPr>
        <w:pStyle w:val="2"/>
        <w:numPr>
          <w:ilvl w:val="0"/>
          <w:numId w:val="68"/>
        </w:numPr>
        <w:spacing w:before="0" w:after="0" w:line="360" w:lineRule="auto"/>
        <w:jc w:val="center"/>
        <w:rPr>
          <w:rFonts w:ascii="黑体" w:eastAsia="黑体"/>
          <w:b w:val="0"/>
          <w:bCs w:val="0"/>
          <w:sz w:val="32"/>
          <w:szCs w:val="32"/>
        </w:rPr>
      </w:pPr>
      <w:bookmarkStart w:id="76" w:name="_Toc27679"/>
      <w:r>
        <w:rPr>
          <w:rFonts w:hint="eastAsia" w:ascii="黑体" w:eastAsia="黑体" w:cs="黑体"/>
          <w:b w:val="0"/>
          <w:bCs w:val="0"/>
          <w:sz w:val="32"/>
          <w:szCs w:val="32"/>
        </w:rPr>
        <w:t>用户需求条款响应表</w:t>
      </w:r>
      <w:bookmarkEnd w:id="76"/>
    </w:p>
    <w:p w14:paraId="28E76B22">
      <w:pPr>
        <w:pStyle w:val="3"/>
        <w:ind w:firstLine="2650" w:firstLineChars="1100"/>
        <w:rPr>
          <w:rFonts w:ascii="宋体" w:hAnsi="宋体" w:eastAsia="宋体" w:cs="Times New Roman"/>
        </w:rPr>
      </w:pPr>
      <w:bookmarkStart w:id="77" w:name="_Toc1142"/>
      <w:bookmarkStart w:id="78"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7"/>
      <w:bookmarkEnd w:id="78"/>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69"/>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69"/>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2"/>
        <w:spacing w:line="360" w:lineRule="auto"/>
        <w:jc w:val="center"/>
        <w:rPr>
          <w:rFonts w:ascii="宋体"/>
        </w:rPr>
      </w:pPr>
      <w:r>
        <w:rPr>
          <w:rFonts w:ascii="宋体"/>
        </w:rPr>
        <w:br w:type="page"/>
      </w:r>
      <w:bookmarkStart w:id="79" w:name="_Toc21096"/>
      <w:bookmarkStart w:id="80" w:name="_Toc17233"/>
      <w:bookmarkStart w:id="81"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2"/>
        <w:spacing w:line="360" w:lineRule="auto"/>
        <w:jc w:val="center"/>
        <w:rPr>
          <w:rFonts w:hint="eastAsia" w:ascii="宋体" w:hAnsi="宋体" w:cs="宋体"/>
          <w:sz w:val="24"/>
          <w:szCs w:val="24"/>
        </w:rPr>
      </w:pPr>
    </w:p>
    <w:tbl>
      <w:tblPr>
        <w:tblStyle w:val="35"/>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9"/>
      <w:bookmarkEnd w:id="80"/>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4"/>
        <w:ind w:firstLine="210"/>
        <w:rPr>
          <w:rFonts w:ascii="宋体" w:cs="Times New Roman"/>
        </w:rPr>
      </w:pPr>
    </w:p>
    <w:p w14:paraId="05C0EA44">
      <w:pPr>
        <w:pStyle w:val="34"/>
        <w:ind w:firstLine="210"/>
        <w:rPr>
          <w:rFonts w:ascii="宋体" w:cs="Times New Roman"/>
        </w:rPr>
      </w:pPr>
    </w:p>
    <w:p w14:paraId="23735136">
      <w:pPr>
        <w:pStyle w:val="34"/>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3"/>
        <w:jc w:val="both"/>
        <w:rPr>
          <w:rFonts w:hint="eastAsia" w:ascii="宋体" w:hAnsi="宋体" w:eastAsia="宋体" w:cs="宋体"/>
          <w:sz w:val="24"/>
          <w:szCs w:val="24"/>
        </w:rPr>
      </w:pPr>
      <w:bookmarkStart w:id="82" w:name="_Hlk38364529"/>
    </w:p>
    <w:p w14:paraId="40BE398F">
      <w:pPr>
        <w:rPr>
          <w:rFonts w:hint="eastAsia"/>
        </w:rPr>
      </w:pPr>
    </w:p>
    <w:p w14:paraId="2D79D8B3">
      <w:pPr>
        <w:pStyle w:val="3"/>
        <w:jc w:val="both"/>
        <w:rPr>
          <w:rFonts w:hint="eastAsia" w:ascii="宋体" w:hAnsi="宋体" w:eastAsia="宋体" w:cs="宋体"/>
          <w:sz w:val="24"/>
          <w:szCs w:val="24"/>
        </w:rPr>
      </w:pPr>
    </w:p>
    <w:p w14:paraId="5320B3B0">
      <w:pPr>
        <w:pStyle w:val="3"/>
        <w:jc w:val="center"/>
        <w:rPr>
          <w:rFonts w:ascii="宋体" w:hAnsi="宋体" w:eastAsia="宋体" w:cs="Times New Roman"/>
          <w:sz w:val="24"/>
          <w:szCs w:val="24"/>
        </w:rPr>
      </w:pPr>
      <w:r>
        <w:rPr>
          <w:rFonts w:hint="eastAsia" w:ascii="宋体" w:hAnsi="宋体" w:eastAsia="宋体" w:cs="宋体"/>
          <w:sz w:val="24"/>
          <w:szCs w:val="24"/>
        </w:rPr>
        <w:t>（三）</w:t>
      </w:r>
      <w:bookmarkEnd w:id="82"/>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0"/>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0"/>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4"/>
        <w:ind w:firstLine="210"/>
        <w:rPr>
          <w:rFonts w:ascii="宋体" w:cs="Times New Roman"/>
        </w:rPr>
      </w:pPr>
    </w:p>
    <w:p w14:paraId="7591197F">
      <w:pPr>
        <w:pStyle w:val="34"/>
        <w:ind w:firstLine="210"/>
        <w:rPr>
          <w:rFonts w:ascii="宋体" w:cs="Times New Roman"/>
        </w:rPr>
      </w:pPr>
    </w:p>
    <w:p w14:paraId="09DABBE4">
      <w:pPr>
        <w:pStyle w:val="34"/>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3"/>
        <w:jc w:val="center"/>
        <w:rPr>
          <w:rFonts w:ascii="宋体" w:hAnsi="宋体" w:eastAsia="宋体" w:cs="Times New Roman"/>
        </w:rPr>
      </w:pPr>
      <w:bookmarkStart w:id="83" w:name="_Toc29255"/>
      <w:bookmarkStart w:id="84" w:name="_Toc29942"/>
      <w:r>
        <w:rPr>
          <w:rFonts w:hint="eastAsia" w:ascii="宋体" w:hAnsi="宋体" w:eastAsia="宋体" w:cs="宋体"/>
          <w:sz w:val="24"/>
          <w:szCs w:val="24"/>
        </w:rPr>
        <w:t>（四）一般技术条款响应表</w:t>
      </w:r>
      <w:bookmarkEnd w:id="83"/>
      <w:bookmarkEnd w:id="84"/>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1"/>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1"/>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4"/>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2"/>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5"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4"/>
        <w:ind w:firstLine="210"/>
      </w:pPr>
    </w:p>
    <w:p w14:paraId="1B3C45ED">
      <w:pPr>
        <w:pStyle w:val="34"/>
        <w:ind w:firstLine="210"/>
      </w:pPr>
    </w:p>
    <w:p w14:paraId="4DD9461D">
      <w:pPr>
        <w:pStyle w:val="34"/>
        <w:ind w:firstLine="210"/>
      </w:pPr>
    </w:p>
    <w:p w14:paraId="0022AC36">
      <w:pPr>
        <w:pStyle w:val="34"/>
        <w:ind w:firstLine="210"/>
      </w:pPr>
    </w:p>
    <w:p w14:paraId="35E7FE9E">
      <w:pPr>
        <w:pStyle w:val="34"/>
        <w:ind w:firstLine="210"/>
      </w:pPr>
    </w:p>
    <w:p w14:paraId="6D9C3810">
      <w:pPr>
        <w:pStyle w:val="2"/>
        <w:spacing w:line="360" w:lineRule="auto"/>
        <w:jc w:val="center"/>
        <w:rPr>
          <w:rFonts w:ascii="宋体"/>
        </w:rPr>
      </w:pPr>
      <w:r>
        <w:rPr>
          <w:rFonts w:hint="eastAsia" w:ascii="宋体" w:hAnsi="宋体" w:cs="宋体"/>
          <w:sz w:val="32"/>
          <w:szCs w:val="32"/>
        </w:rPr>
        <w:t>七、技术服务方案及售后服务方案</w:t>
      </w:r>
      <w:bookmarkEnd w:id="81"/>
    </w:p>
    <w:bookmarkEnd w:id="85"/>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6" w:name="_Hlk38362799"/>
      <w:r>
        <w:rPr>
          <w:rFonts w:hint="eastAsia" w:ascii="宋体" w:hAnsi="宋体" w:cs="宋体"/>
        </w:rPr>
        <w:t>供应商根据招标需求的要求自行编写（格式自定）</w:t>
      </w:r>
    </w:p>
    <w:bookmarkEnd w:id="86"/>
    <w:p w14:paraId="409BE38E">
      <w:pPr>
        <w:spacing w:line="360" w:lineRule="auto"/>
        <w:ind w:firstLine="420" w:firstLineChars="200"/>
        <w:rPr>
          <w:rFonts w:ascii="宋体" w:hAnsi="宋体" w:cs="宋体"/>
        </w:rPr>
      </w:pPr>
    </w:p>
    <w:p w14:paraId="1934011C">
      <w:pPr>
        <w:pStyle w:val="34"/>
        <w:ind w:firstLine="210"/>
      </w:pPr>
    </w:p>
    <w:p w14:paraId="6CEA97DC">
      <w:pPr>
        <w:pStyle w:val="34"/>
        <w:ind w:firstLine="210"/>
      </w:pPr>
    </w:p>
    <w:p w14:paraId="329BC707">
      <w:pPr>
        <w:pStyle w:val="34"/>
        <w:ind w:firstLine="210"/>
      </w:pPr>
    </w:p>
    <w:p w14:paraId="24B4C3F8">
      <w:pPr>
        <w:pStyle w:val="34"/>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2"/>
        <w:spacing w:line="360" w:lineRule="auto"/>
        <w:jc w:val="center"/>
        <w:rPr>
          <w:rFonts w:ascii="黑体" w:eastAsia="黑体" w:cs="黑体"/>
          <w:b w:val="0"/>
          <w:bCs w:val="0"/>
          <w:sz w:val="32"/>
          <w:szCs w:val="32"/>
        </w:rPr>
      </w:pPr>
      <w:r>
        <w:br w:type="page"/>
      </w:r>
      <w:bookmarkStart w:id="87" w:name="_Toc29613"/>
      <w:r>
        <w:rPr>
          <w:rFonts w:hint="eastAsia" w:ascii="宋体" w:hAnsi="宋体" w:cs="宋体"/>
          <w:sz w:val="32"/>
          <w:szCs w:val="32"/>
        </w:rPr>
        <w:t>八、价格部分</w:t>
      </w:r>
    </w:p>
    <w:p w14:paraId="23A76E21">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87"/>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8" w:name="_Hlk38364649"/>
            <w:r>
              <w:rPr>
                <w:rFonts w:hint="eastAsia"/>
                <w:b/>
              </w:rPr>
              <w:t>项目名称</w:t>
            </w:r>
          </w:p>
        </w:tc>
        <w:tc>
          <w:tcPr>
            <w:tcW w:w="3402" w:type="dxa"/>
            <w:shd w:val="clear" w:color="auto" w:fill="D9D9D9"/>
            <w:vAlign w:val="center"/>
          </w:tcPr>
          <w:p w14:paraId="124FD2D3">
            <w:pPr>
              <w:jc w:val="center"/>
              <w:rPr>
                <w:b/>
              </w:rPr>
            </w:pPr>
            <w:r>
              <w:rPr>
                <w:rFonts w:hint="eastAsia"/>
                <w:b/>
              </w:rPr>
              <w:t>投标总报价</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宋体"/>
                <w:kern w:val="28"/>
                <w:lang w:val="en-US" w:eastAsia="zh-CN"/>
              </w:rPr>
              <w:t>现代服务系数智企业经营管理沙盘和数字化资源库系统采购项目</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3FE62615">
            <w:pPr>
              <w:jc w:val="center"/>
            </w:pPr>
          </w:p>
        </w:tc>
      </w:tr>
      <w:bookmarkEnd w:id="88"/>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2"/>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2"/>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4"/>
        <w:ind w:firstLine="210"/>
        <w:rPr>
          <w:rFonts w:ascii="宋体" w:cs="Times New Roman"/>
        </w:rPr>
      </w:pPr>
    </w:p>
    <w:p w14:paraId="2F0D59FC">
      <w:pPr>
        <w:pStyle w:val="34"/>
        <w:ind w:firstLine="210"/>
        <w:rPr>
          <w:rFonts w:ascii="宋体" w:cs="Times New Roman"/>
        </w:rPr>
      </w:pPr>
    </w:p>
    <w:p w14:paraId="2942E703">
      <w:pPr>
        <w:pStyle w:val="34"/>
        <w:ind w:firstLine="210"/>
        <w:rPr>
          <w:rFonts w:ascii="宋体" w:cs="Times New Roman"/>
        </w:rPr>
      </w:pPr>
    </w:p>
    <w:p w14:paraId="6774D3E0">
      <w:pPr>
        <w:pStyle w:val="34"/>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3"/>
        <w:jc w:val="center"/>
      </w:pPr>
      <w:r>
        <w:br w:type="page"/>
      </w:r>
      <w:bookmarkStart w:id="89" w:name="_Hlk38364591"/>
      <w:bookmarkStart w:id="90" w:name="_Toc16324"/>
      <w:r>
        <w:rPr>
          <w:rFonts w:hint="eastAsia" w:ascii="宋体" w:hAnsi="宋体" w:eastAsia="宋体" w:cs="宋体"/>
          <w:sz w:val="24"/>
          <w:szCs w:val="24"/>
        </w:rPr>
        <w:t>（二）</w:t>
      </w:r>
      <w:bookmarkEnd w:id="89"/>
      <w:r>
        <w:rPr>
          <w:rFonts w:hint="eastAsia" w:ascii="宋体" w:hAnsi="宋体" w:eastAsia="宋体" w:cs="宋体"/>
          <w:sz w:val="24"/>
          <w:szCs w:val="24"/>
        </w:rPr>
        <w:t>、报价明细报价表</w:t>
      </w:r>
      <w:bookmarkEnd w:id="90"/>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14"/>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4"/>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4"/>
        <w:ind w:firstLine="210"/>
      </w:pPr>
    </w:p>
    <w:p w14:paraId="1D1ADA2E">
      <w:pPr>
        <w:pStyle w:val="34"/>
        <w:ind w:firstLine="210"/>
      </w:pPr>
    </w:p>
    <w:p w14:paraId="116FDC02">
      <w:pPr>
        <w:pStyle w:val="34"/>
        <w:ind w:firstLine="210"/>
      </w:pPr>
    </w:p>
    <w:p w14:paraId="36E3E85D">
      <w:pPr>
        <w:pStyle w:val="3"/>
        <w:jc w:val="center"/>
        <w:rPr>
          <w:rFonts w:ascii="宋体" w:hAnsi="宋体" w:eastAsia="宋体" w:cs="宋体"/>
          <w:sz w:val="24"/>
          <w:szCs w:val="24"/>
        </w:rPr>
      </w:pPr>
      <w:r>
        <w:rPr>
          <w:rFonts w:hint="eastAsia" w:ascii="宋体" w:hAnsi="宋体" w:eastAsia="宋体" w:cs="宋体"/>
          <w:sz w:val="24"/>
          <w:szCs w:val="24"/>
        </w:rPr>
        <w:t>（三）、</w:t>
      </w:r>
      <w:bookmarkStart w:id="91" w:name="_Hlk38365110"/>
      <w:r>
        <w:rPr>
          <w:rFonts w:hint="eastAsia" w:ascii="宋体" w:hAnsi="宋体" w:eastAsia="宋体" w:cs="宋体"/>
          <w:sz w:val="24"/>
          <w:szCs w:val="24"/>
        </w:rPr>
        <w:t>磋商报价及承诺一览表</w:t>
      </w:r>
    </w:p>
    <w:p w14:paraId="74FA7756">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2" w:name="_Hlk38364999"/>
    </w:p>
    <w:bookmarkEnd w:id="91"/>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3" w:name="_Hlk38364866"/>
            <w:r>
              <w:rPr>
                <w:rFonts w:hint="eastAsia"/>
                <w:b/>
              </w:rPr>
              <w:t>项目名称</w:t>
            </w:r>
          </w:p>
        </w:tc>
        <w:tc>
          <w:tcPr>
            <w:tcW w:w="3402" w:type="dxa"/>
            <w:shd w:val="clear" w:color="auto" w:fill="D9D9D9"/>
            <w:vAlign w:val="center"/>
          </w:tcPr>
          <w:p w14:paraId="7B5541F5">
            <w:pPr>
              <w:jc w:val="center"/>
              <w:rPr>
                <w:b/>
              </w:rPr>
            </w:pPr>
            <w:r>
              <w:rPr>
                <w:rFonts w:hint="eastAsia"/>
                <w:b/>
              </w:rPr>
              <w:t>投标总报价</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5D6DD99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cs="Arial"/>
                <w:bCs/>
                <w:sz w:val="18"/>
                <w:szCs w:val="18"/>
                <w:lang w:val="en-US"/>
              </w:rPr>
            </w:pPr>
            <w:r>
              <w:rPr>
                <w:rFonts w:hint="eastAsia" w:cs="宋体"/>
                <w:kern w:val="28"/>
                <w:lang w:val="en-US" w:eastAsia="zh-CN"/>
              </w:rPr>
              <w:t>现代服务系数智企业经营管理沙盘和数字化资源库系统采购项目</w:t>
            </w:r>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3"/>
    </w:tbl>
    <w:p w14:paraId="6ABF83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4"/>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2"/>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1"/>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13</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CF16">
    <w:pPr>
      <w:pStyle w:val="22"/>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现代服务系数智企业经营管理沙盘和数字化资源库系统采购项目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3">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2">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5">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1">
    <w:nsid w:val="2C588CCB"/>
    <w:multiLevelType w:val="singleLevel"/>
    <w:tmpl w:val="2C588CCB"/>
    <w:lvl w:ilvl="0" w:tentative="0">
      <w:start w:val="1"/>
      <w:numFmt w:val="decimal"/>
      <w:lvlText w:val="(%1)"/>
      <w:lvlJc w:val="left"/>
      <w:pPr>
        <w:ind w:left="425" w:hanging="425"/>
      </w:pPr>
      <w:rPr>
        <w:rFonts w:hint="default"/>
      </w:rPr>
    </w:lvl>
  </w:abstractNum>
  <w:abstractNum w:abstractNumId="42">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3">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4">
    <w:nsid w:val="39D5BD39"/>
    <w:multiLevelType w:val="singleLevel"/>
    <w:tmpl w:val="39D5BD39"/>
    <w:lvl w:ilvl="0" w:tentative="0">
      <w:start w:val="1"/>
      <w:numFmt w:val="decimal"/>
      <w:lvlText w:val="(%1)"/>
      <w:lvlJc w:val="left"/>
      <w:pPr>
        <w:ind w:left="425" w:hanging="425"/>
      </w:pPr>
      <w:rPr>
        <w:rFonts w:hint="default"/>
      </w:rPr>
    </w:lvl>
  </w:abstractNum>
  <w:abstractNum w:abstractNumId="45">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6">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C095371"/>
    <w:multiLevelType w:val="singleLevel"/>
    <w:tmpl w:val="4C095371"/>
    <w:lvl w:ilvl="0" w:tentative="0">
      <w:start w:val="1"/>
      <w:numFmt w:val="decimal"/>
      <w:lvlText w:val="(%1)"/>
      <w:lvlJc w:val="left"/>
      <w:pPr>
        <w:ind w:left="425" w:hanging="425"/>
      </w:pPr>
      <w:rPr>
        <w:rFonts w:hint="default"/>
      </w:rPr>
    </w:lvl>
  </w:abstractNum>
  <w:abstractNum w:abstractNumId="51">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2">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4">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5">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7">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69">
    <w:nsid w:val="736105D4"/>
    <w:multiLevelType w:val="singleLevel"/>
    <w:tmpl w:val="736105D4"/>
    <w:lvl w:ilvl="0" w:tentative="0">
      <w:start w:val="1"/>
      <w:numFmt w:val="decimal"/>
      <w:lvlText w:val="%1."/>
      <w:lvlJc w:val="left"/>
      <w:pPr>
        <w:ind w:left="425" w:hanging="425"/>
      </w:pPr>
      <w:rPr>
        <w:rFonts w:hint="default"/>
      </w:rPr>
    </w:lvl>
  </w:abstractNum>
  <w:abstractNum w:abstractNumId="70">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27"/>
  </w:num>
  <w:num w:numId="5">
    <w:abstractNumId w:val="56"/>
  </w:num>
  <w:num w:numId="6">
    <w:abstractNumId w:val="45"/>
  </w:num>
  <w:num w:numId="7">
    <w:abstractNumId w:val="34"/>
  </w:num>
  <w:num w:numId="8">
    <w:abstractNumId w:val="68"/>
  </w:num>
  <w:num w:numId="9">
    <w:abstractNumId w:val="6"/>
  </w:num>
  <w:num w:numId="10">
    <w:abstractNumId w:val="25"/>
  </w:num>
  <w:num w:numId="11">
    <w:abstractNumId w:val="26"/>
  </w:num>
  <w:num w:numId="12">
    <w:abstractNumId w:val="24"/>
  </w:num>
  <w:num w:numId="13">
    <w:abstractNumId w:val="23"/>
  </w:num>
  <w:num w:numId="14">
    <w:abstractNumId w:val="28"/>
  </w:num>
  <w:num w:numId="15">
    <w:abstractNumId w:val="35"/>
  </w:num>
  <w:num w:numId="16">
    <w:abstractNumId w:val="57"/>
  </w:num>
  <w:num w:numId="17">
    <w:abstractNumId w:val="30"/>
  </w:num>
  <w:num w:numId="18">
    <w:abstractNumId w:val="12"/>
  </w:num>
  <w:num w:numId="19">
    <w:abstractNumId w:val="41"/>
  </w:num>
  <w:num w:numId="20">
    <w:abstractNumId w:val="52"/>
  </w:num>
  <w:num w:numId="21">
    <w:abstractNumId w:val="32"/>
  </w:num>
  <w:num w:numId="22">
    <w:abstractNumId w:val="39"/>
  </w:num>
  <w:num w:numId="23">
    <w:abstractNumId w:val="59"/>
  </w:num>
  <w:num w:numId="24">
    <w:abstractNumId w:val="65"/>
  </w:num>
  <w:num w:numId="25">
    <w:abstractNumId w:val="2"/>
  </w:num>
  <w:num w:numId="26">
    <w:abstractNumId w:val="18"/>
  </w:num>
  <w:num w:numId="27">
    <w:abstractNumId w:val="1"/>
  </w:num>
  <w:num w:numId="28">
    <w:abstractNumId w:val="38"/>
  </w:num>
  <w:num w:numId="29">
    <w:abstractNumId w:val="44"/>
  </w:num>
  <w:num w:numId="30">
    <w:abstractNumId w:val="20"/>
  </w:num>
  <w:num w:numId="31">
    <w:abstractNumId w:val="14"/>
  </w:num>
  <w:num w:numId="32">
    <w:abstractNumId w:val="55"/>
  </w:num>
  <w:num w:numId="33">
    <w:abstractNumId w:val="9"/>
  </w:num>
  <w:num w:numId="34">
    <w:abstractNumId w:val="5"/>
  </w:num>
  <w:num w:numId="35">
    <w:abstractNumId w:val="3"/>
  </w:num>
  <w:num w:numId="36">
    <w:abstractNumId w:val="58"/>
  </w:num>
  <w:num w:numId="37">
    <w:abstractNumId w:val="64"/>
  </w:num>
  <w:num w:numId="38">
    <w:abstractNumId w:val="47"/>
  </w:num>
  <w:num w:numId="39">
    <w:abstractNumId w:val="48"/>
  </w:num>
  <w:num w:numId="40">
    <w:abstractNumId w:val="46"/>
  </w:num>
  <w:num w:numId="41">
    <w:abstractNumId w:val="62"/>
  </w:num>
  <w:num w:numId="42">
    <w:abstractNumId w:val="17"/>
  </w:num>
  <w:num w:numId="43">
    <w:abstractNumId w:val="19"/>
  </w:num>
  <w:num w:numId="44">
    <w:abstractNumId w:val="70"/>
  </w:num>
  <w:num w:numId="45">
    <w:abstractNumId w:val="36"/>
  </w:num>
  <w:num w:numId="46">
    <w:abstractNumId w:val="63"/>
  </w:num>
  <w:num w:numId="47">
    <w:abstractNumId w:val="16"/>
  </w:num>
  <w:num w:numId="48">
    <w:abstractNumId w:val="29"/>
  </w:num>
  <w:num w:numId="49">
    <w:abstractNumId w:val="54"/>
  </w:num>
  <w:num w:numId="50">
    <w:abstractNumId w:val="53"/>
  </w:num>
  <w:num w:numId="51">
    <w:abstractNumId w:val="15"/>
  </w:num>
  <w:num w:numId="52">
    <w:abstractNumId w:val="4"/>
  </w:num>
  <w:num w:numId="53">
    <w:abstractNumId w:val="7"/>
  </w:num>
  <w:num w:numId="54">
    <w:abstractNumId w:val="50"/>
  </w:num>
  <w:num w:numId="55">
    <w:abstractNumId w:val="11"/>
  </w:num>
  <w:num w:numId="56">
    <w:abstractNumId w:val="49"/>
  </w:num>
  <w:num w:numId="57">
    <w:abstractNumId w:val="8"/>
  </w:num>
  <w:num w:numId="58">
    <w:abstractNumId w:val="13"/>
  </w:num>
  <w:num w:numId="59">
    <w:abstractNumId w:val="31"/>
  </w:num>
  <w:num w:numId="60">
    <w:abstractNumId w:val="10"/>
  </w:num>
  <w:num w:numId="61">
    <w:abstractNumId w:val="60"/>
  </w:num>
  <w:num w:numId="62">
    <w:abstractNumId w:val="43"/>
  </w:num>
  <w:num w:numId="63">
    <w:abstractNumId w:val="40"/>
  </w:num>
  <w:num w:numId="64">
    <w:abstractNumId w:val="42"/>
  </w:num>
  <w:num w:numId="65">
    <w:abstractNumId w:val="51"/>
  </w:num>
  <w:num w:numId="66">
    <w:abstractNumId w:val="69"/>
  </w:num>
  <w:num w:numId="67">
    <w:abstractNumId w:val="0"/>
  </w:num>
  <w:num w:numId="68">
    <w:abstractNumId w:val="37"/>
  </w:num>
  <w:num w:numId="69">
    <w:abstractNumId w:val="33"/>
  </w:num>
  <w:num w:numId="70">
    <w:abstractNumId w:val="61"/>
  </w:num>
  <w:num w:numId="71">
    <w:abstractNumId w:val="66"/>
  </w:num>
  <w:num w:numId="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5654B5"/>
    <w:rsid w:val="06A149CB"/>
    <w:rsid w:val="06D11F32"/>
    <w:rsid w:val="0785665F"/>
    <w:rsid w:val="07B32051"/>
    <w:rsid w:val="07EB08B1"/>
    <w:rsid w:val="08173179"/>
    <w:rsid w:val="081868E6"/>
    <w:rsid w:val="089B7583"/>
    <w:rsid w:val="08C5681F"/>
    <w:rsid w:val="08EE4992"/>
    <w:rsid w:val="091C4B59"/>
    <w:rsid w:val="09246605"/>
    <w:rsid w:val="098A5497"/>
    <w:rsid w:val="09A1791C"/>
    <w:rsid w:val="09D25BA2"/>
    <w:rsid w:val="0A0E35A3"/>
    <w:rsid w:val="0A1B48E0"/>
    <w:rsid w:val="0A3E36F7"/>
    <w:rsid w:val="0A454A85"/>
    <w:rsid w:val="0A6027FC"/>
    <w:rsid w:val="0A836050"/>
    <w:rsid w:val="0AB05ECE"/>
    <w:rsid w:val="0AB357D4"/>
    <w:rsid w:val="0AD12D78"/>
    <w:rsid w:val="0B0E01AD"/>
    <w:rsid w:val="0B5351E7"/>
    <w:rsid w:val="0B591E2E"/>
    <w:rsid w:val="0B8A10F7"/>
    <w:rsid w:val="0C0910DE"/>
    <w:rsid w:val="0C4D2F83"/>
    <w:rsid w:val="0C77459D"/>
    <w:rsid w:val="0CAD489C"/>
    <w:rsid w:val="0D0E66AD"/>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B46C7"/>
    <w:rsid w:val="220D56D6"/>
    <w:rsid w:val="22584650"/>
    <w:rsid w:val="22602BE2"/>
    <w:rsid w:val="22DD15A5"/>
    <w:rsid w:val="22E16D2C"/>
    <w:rsid w:val="22E64FCE"/>
    <w:rsid w:val="23513516"/>
    <w:rsid w:val="235C0D8C"/>
    <w:rsid w:val="2366189C"/>
    <w:rsid w:val="24005DFF"/>
    <w:rsid w:val="244B2840"/>
    <w:rsid w:val="24740B21"/>
    <w:rsid w:val="247E3C8E"/>
    <w:rsid w:val="24A66CC3"/>
    <w:rsid w:val="24B07509"/>
    <w:rsid w:val="25141B44"/>
    <w:rsid w:val="25251CDD"/>
    <w:rsid w:val="25444028"/>
    <w:rsid w:val="25640448"/>
    <w:rsid w:val="256A0B48"/>
    <w:rsid w:val="25AD45C8"/>
    <w:rsid w:val="25B8212F"/>
    <w:rsid w:val="25C379D2"/>
    <w:rsid w:val="26097A44"/>
    <w:rsid w:val="26244987"/>
    <w:rsid w:val="26A266B6"/>
    <w:rsid w:val="26DC3A8D"/>
    <w:rsid w:val="27425C21"/>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B7754"/>
    <w:rsid w:val="2C9F72AD"/>
    <w:rsid w:val="2CA774EA"/>
    <w:rsid w:val="2CBB1650"/>
    <w:rsid w:val="2CBE19F6"/>
    <w:rsid w:val="2CC74EB6"/>
    <w:rsid w:val="2CCE420F"/>
    <w:rsid w:val="2CE20701"/>
    <w:rsid w:val="2D200D0E"/>
    <w:rsid w:val="2D901D4F"/>
    <w:rsid w:val="2DDA0DE8"/>
    <w:rsid w:val="2E015DFD"/>
    <w:rsid w:val="2E07017C"/>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E26171"/>
    <w:rsid w:val="33E85C36"/>
    <w:rsid w:val="34280CB6"/>
    <w:rsid w:val="343F0D4B"/>
    <w:rsid w:val="34583C3A"/>
    <w:rsid w:val="347A2A30"/>
    <w:rsid w:val="34AE6BFF"/>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5208D7"/>
    <w:rsid w:val="3A6D1368"/>
    <w:rsid w:val="3A6D2AE0"/>
    <w:rsid w:val="3A7D4D6D"/>
    <w:rsid w:val="3A886309"/>
    <w:rsid w:val="3A904DA0"/>
    <w:rsid w:val="3AE85F24"/>
    <w:rsid w:val="3B0F4EDF"/>
    <w:rsid w:val="3B6405FB"/>
    <w:rsid w:val="3B8F3FA9"/>
    <w:rsid w:val="3BDB42E4"/>
    <w:rsid w:val="3BF4776D"/>
    <w:rsid w:val="3C505CD1"/>
    <w:rsid w:val="3C5F749B"/>
    <w:rsid w:val="3C79768C"/>
    <w:rsid w:val="3C912184"/>
    <w:rsid w:val="3CAC6323"/>
    <w:rsid w:val="3D3B124C"/>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2E308CC"/>
    <w:rsid w:val="430A0010"/>
    <w:rsid w:val="430D1706"/>
    <w:rsid w:val="437378E5"/>
    <w:rsid w:val="43833776"/>
    <w:rsid w:val="43B35BEF"/>
    <w:rsid w:val="440700DA"/>
    <w:rsid w:val="44277205"/>
    <w:rsid w:val="445A2900"/>
    <w:rsid w:val="44831052"/>
    <w:rsid w:val="44A21D28"/>
    <w:rsid w:val="44A90052"/>
    <w:rsid w:val="44E828B4"/>
    <w:rsid w:val="44E94E5C"/>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B7364F"/>
    <w:rsid w:val="5DB76275"/>
    <w:rsid w:val="5DE01011"/>
    <w:rsid w:val="5DF72468"/>
    <w:rsid w:val="5E263E4C"/>
    <w:rsid w:val="5E2A7B88"/>
    <w:rsid w:val="5E6834EB"/>
    <w:rsid w:val="5EF21D08"/>
    <w:rsid w:val="5EFC55C2"/>
    <w:rsid w:val="5EFE70DD"/>
    <w:rsid w:val="5F042765"/>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91A58"/>
    <w:rsid w:val="61F068A2"/>
    <w:rsid w:val="621B2348"/>
    <w:rsid w:val="62607B57"/>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A119E7"/>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B514DC"/>
    <w:rsid w:val="6ACD6505"/>
    <w:rsid w:val="6AD31D28"/>
    <w:rsid w:val="6AFF1433"/>
    <w:rsid w:val="6B0A1475"/>
    <w:rsid w:val="6B195042"/>
    <w:rsid w:val="6B370F4A"/>
    <w:rsid w:val="6B5477F9"/>
    <w:rsid w:val="6B9F7419"/>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DC241A"/>
    <w:rsid w:val="70F47CF6"/>
    <w:rsid w:val="70F806AF"/>
    <w:rsid w:val="715132E1"/>
    <w:rsid w:val="716E59A9"/>
    <w:rsid w:val="71993493"/>
    <w:rsid w:val="71AA05CD"/>
    <w:rsid w:val="71C87392"/>
    <w:rsid w:val="71DB12B3"/>
    <w:rsid w:val="72035AD5"/>
    <w:rsid w:val="72993414"/>
    <w:rsid w:val="72C850AE"/>
    <w:rsid w:val="72D73A11"/>
    <w:rsid w:val="72F01471"/>
    <w:rsid w:val="73047240"/>
    <w:rsid w:val="73094C52"/>
    <w:rsid w:val="7350660E"/>
    <w:rsid w:val="736C224D"/>
    <w:rsid w:val="73B30DE8"/>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70E6BA6"/>
    <w:rsid w:val="772546B8"/>
    <w:rsid w:val="774A78C1"/>
    <w:rsid w:val="77B5481D"/>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B20E2F"/>
    <w:rsid w:val="7AE73146"/>
    <w:rsid w:val="7B276F1B"/>
    <w:rsid w:val="7B663C59"/>
    <w:rsid w:val="7B683207"/>
    <w:rsid w:val="7B6A6379"/>
    <w:rsid w:val="7BD227A0"/>
    <w:rsid w:val="7BDC5744"/>
    <w:rsid w:val="7BE563C5"/>
    <w:rsid w:val="7C2876C8"/>
    <w:rsid w:val="7C4B1906"/>
    <w:rsid w:val="7CAD2803"/>
    <w:rsid w:val="7CAE64BE"/>
    <w:rsid w:val="7CB54CD9"/>
    <w:rsid w:val="7D0F2D68"/>
    <w:rsid w:val="7D4816AF"/>
    <w:rsid w:val="7D661672"/>
    <w:rsid w:val="7DA5658D"/>
    <w:rsid w:val="7DB008BF"/>
    <w:rsid w:val="7DE90634"/>
    <w:rsid w:val="7E170D1B"/>
    <w:rsid w:val="7E26327E"/>
    <w:rsid w:val="7E443971"/>
    <w:rsid w:val="7E4710A5"/>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autoRedefine/>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autoRedefine/>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autoRedefine/>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autoRedefine/>
    <w:qFormat/>
    <w:uiPriority w:val="99"/>
    <w:rPr>
      <w:rFonts w:ascii="宋体" w:hAnsi="Courier New" w:cs="宋体"/>
    </w:rPr>
  </w:style>
  <w:style w:type="paragraph" w:styleId="18">
    <w:name w:val="Date"/>
    <w:basedOn w:val="1"/>
    <w:next w:val="1"/>
    <w:link w:val="59"/>
    <w:autoRedefine/>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
    <w:link w:val="21"/>
    <w:qFormat/>
    <w:locked/>
    <w:uiPriority w:val="99"/>
    <w:rPr>
      <w:rFonts w:eastAsia="宋体"/>
      <w:kern w:val="2"/>
      <w:sz w:val="18"/>
      <w:szCs w:val="18"/>
      <w:lang w:val="en-US" w:eastAsia="zh-CN"/>
    </w:rPr>
  </w:style>
  <w:style w:type="character" w:customStyle="1" w:styleId="63">
    <w:name w:val="页眉 Char"/>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16"/>
      <w:szCs w:val="16"/>
      <w:u w:val="none"/>
    </w:rPr>
  </w:style>
  <w:style w:type="character" w:customStyle="1" w:styleId="126">
    <w:name w:val="font61"/>
    <w:basedOn w:val="37"/>
    <w:qFormat/>
    <w:uiPriority w:val="0"/>
    <w:rPr>
      <w:rFonts w:ascii="宋体" w:hAnsi="宋体" w:eastAsia="宋体" w:cs="宋体"/>
      <w:color w:val="000000"/>
      <w:sz w:val="16"/>
      <w:szCs w:val="16"/>
      <w:u w:val="none"/>
    </w:rPr>
  </w:style>
  <w:style w:type="character" w:customStyle="1" w:styleId="127">
    <w:name w:val="font11"/>
    <w:basedOn w:val="37"/>
    <w:qFormat/>
    <w:uiPriority w:val="0"/>
    <w:rPr>
      <w:rFonts w:hint="eastAsia" w:ascii="宋体" w:hAnsi="宋体" w:eastAsia="宋体" w:cs="宋体"/>
      <w:color w:val="000000"/>
      <w:sz w:val="18"/>
      <w:szCs w:val="18"/>
      <w:u w:val="none"/>
    </w:rPr>
  </w:style>
  <w:style w:type="paragraph" w:customStyle="1" w:styleId="12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24023</Words>
  <Characters>24689</Characters>
  <Lines>183</Lines>
  <Paragraphs>51</Paragraphs>
  <TotalTime>13</TotalTime>
  <ScaleCrop>false</ScaleCrop>
  <LinksUpToDate>false</LinksUpToDate>
  <CharactersWithSpaces>25895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2024-10-28T07:31:41Z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E6D5F5FE20FB4613BB60C1E44ECFF47C</vt:lpwstr>
  </property>
</Properties>
</file>