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黑体" w:eastAsia="仿宋_GB2312"/>
          <w:sz w:val="44"/>
          <w:szCs w:val="44"/>
        </w:rPr>
      </w:pPr>
      <w:r>
        <w:drawing>
          <wp:inline distT="0" distB="0" distL="0" distR="0">
            <wp:extent cx="5184775" cy="772160"/>
            <wp:effectExtent l="19050" t="0" r="0" b="0"/>
            <wp:docPr id="1" name="图片 1" descr="防城港市理工logo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防城港市理工logo透明"/>
                    <pic:cNvPicPr>
                      <a:picLocks noChangeAspect="1" noChangeArrowheads="1"/>
                    </pic:cNvPicPr>
                  </pic:nvPicPr>
                  <pic:blipFill>
                    <a:blip r:embed="rId6" cstate="print"/>
                    <a:srcRect/>
                    <a:stretch>
                      <a:fillRect/>
                    </a:stretch>
                  </pic:blipFill>
                  <pic:spPr>
                    <a:xfrm>
                      <a:off x="0" y="0"/>
                      <a:ext cx="5184775" cy="772160"/>
                    </a:xfrm>
                    <a:prstGeom prst="rect">
                      <a:avLst/>
                    </a:prstGeom>
                    <a:noFill/>
                    <a:ln w="9525">
                      <a:noFill/>
                      <a:miter lim="800000"/>
                      <a:headEnd/>
                      <a:tailEnd/>
                    </a:ln>
                  </pic:spPr>
                </pic:pic>
              </a:graphicData>
            </a:graphic>
          </wp:inline>
        </w:drawing>
      </w:r>
    </w:p>
    <w:p>
      <w:pPr>
        <w:jc w:val="center"/>
        <w:rPr>
          <w:rFonts w:ascii="仿宋_GB2312" w:hAnsi="黑体" w:eastAsia="仿宋_GB2312"/>
          <w:sz w:val="30"/>
          <w:szCs w:val="30"/>
        </w:rPr>
      </w:pPr>
    </w:p>
    <w:p>
      <w:pPr>
        <w:jc w:val="center"/>
        <w:rPr>
          <w:rFonts w:ascii="黑体" w:hAnsi="黑体" w:eastAsia="黑体"/>
          <w:szCs w:val="21"/>
        </w:rPr>
      </w:pPr>
    </w:p>
    <w:p>
      <w:pPr>
        <w:jc w:val="center"/>
        <w:rPr>
          <w:rFonts w:ascii="方正小标宋简体" w:hAnsi="黑体" w:eastAsia="方正小标宋简体"/>
          <w:sz w:val="96"/>
          <w:szCs w:val="96"/>
        </w:rPr>
      </w:pPr>
      <w:r>
        <w:rPr>
          <w:rFonts w:hint="eastAsia" w:ascii="方正小标宋简体" w:hAnsi="黑体" w:eastAsia="方正小标宋简体"/>
          <w:sz w:val="96"/>
          <w:szCs w:val="96"/>
        </w:rPr>
        <w:t>人才培养方案</w:t>
      </w:r>
    </w:p>
    <w:p>
      <w:pPr>
        <w:rPr>
          <w:rFonts w:ascii="黑体" w:hAnsi="黑体" w:eastAsia="黑体"/>
          <w:sz w:val="32"/>
          <w:szCs w:val="32"/>
        </w:rPr>
      </w:pPr>
    </w:p>
    <w:p>
      <w:pPr>
        <w:ind w:left="2520" w:firstLine="32"/>
        <w:rPr>
          <w:rFonts w:ascii="黑体" w:hAnsi="黑体" w:eastAsia="黑体"/>
          <w:sz w:val="28"/>
          <w:szCs w:val="28"/>
        </w:rPr>
      </w:pPr>
    </w:p>
    <w:p>
      <w:pPr>
        <w:ind w:left="2520" w:firstLine="32"/>
        <w:rPr>
          <w:rFonts w:hint="eastAsia" w:ascii="仿宋_GB2312" w:hAnsi="黑体" w:eastAsia="黑体"/>
          <w:sz w:val="32"/>
          <w:szCs w:val="32"/>
          <w:u w:val="single"/>
          <w:lang w:val="en-US" w:eastAsia="zh-CN"/>
        </w:rPr>
      </w:pPr>
      <w:r>
        <w:rPr>
          <w:rFonts w:hint="eastAsia" w:ascii="黑体" w:hAnsi="黑体" w:eastAsia="黑体"/>
          <w:sz w:val="32"/>
          <w:szCs w:val="32"/>
        </w:rPr>
        <w:t xml:space="preserve">专业名称 </w:t>
      </w:r>
      <w:r>
        <w:rPr>
          <w:rFonts w:hint="eastAsia" w:ascii="黑体" w:hAnsi="黑体" w:eastAsia="黑体"/>
          <w:sz w:val="32"/>
          <w:szCs w:val="32"/>
          <w:u w:val="single"/>
        </w:rPr>
        <w:t xml:space="preserve"> 港口机械运用与维修</w:t>
      </w:r>
      <w:r>
        <w:rPr>
          <w:rFonts w:hint="eastAsia" w:ascii="黑体" w:hAnsi="黑体" w:eastAsia="黑体"/>
          <w:sz w:val="32"/>
          <w:szCs w:val="32"/>
          <w:u w:val="single"/>
          <w:lang w:val="en-US" w:eastAsia="zh-CN"/>
        </w:rPr>
        <w:t xml:space="preserve"> </w:t>
      </w:r>
    </w:p>
    <w:p>
      <w:pPr>
        <w:ind w:left="2520" w:firstLine="32"/>
        <w:rPr>
          <w:rFonts w:ascii="仿宋_GB2312" w:hAnsi="黑体" w:eastAsia="仿宋_GB2312"/>
          <w:sz w:val="32"/>
          <w:szCs w:val="32"/>
          <w:u w:val="single"/>
        </w:rPr>
      </w:pPr>
      <w:r>
        <w:rPr>
          <w:rFonts w:hint="eastAsia" w:ascii="黑体" w:hAnsi="黑体" w:eastAsia="黑体"/>
          <w:sz w:val="32"/>
          <w:szCs w:val="32"/>
        </w:rPr>
        <w:t xml:space="preserve">专业性质 </w:t>
      </w:r>
      <w:r>
        <w:rPr>
          <w:rFonts w:hint="eastAsia" w:ascii="黑体" w:hAnsi="黑体" w:eastAsia="黑体"/>
          <w:sz w:val="32"/>
          <w:szCs w:val="32"/>
          <w:u w:val="single"/>
        </w:rPr>
        <w:t xml:space="preserve">       中职       </w:t>
      </w:r>
    </w:p>
    <w:p>
      <w:pPr>
        <w:ind w:left="2520" w:firstLine="32"/>
        <w:rPr>
          <w:rFonts w:ascii="仿宋_GB2312" w:hAnsi="黑体" w:eastAsia="仿宋_GB2312"/>
          <w:sz w:val="32"/>
          <w:szCs w:val="32"/>
          <w:u w:val="single"/>
        </w:rPr>
      </w:pPr>
      <w:r>
        <w:rPr>
          <w:rFonts w:hint="eastAsia" w:ascii="黑体" w:hAnsi="黑体" w:eastAsia="黑体"/>
          <w:sz w:val="32"/>
          <w:szCs w:val="32"/>
        </w:rPr>
        <w:t xml:space="preserve">专业类别 </w:t>
      </w:r>
      <w:r>
        <w:rPr>
          <w:rFonts w:hint="eastAsia" w:ascii="黑体" w:hAnsi="黑体" w:eastAsia="黑体"/>
          <w:sz w:val="32"/>
          <w:szCs w:val="32"/>
          <w:u w:val="single"/>
        </w:rPr>
        <w:t xml:space="preserve">    水上运输类     </w:t>
      </w:r>
    </w:p>
    <w:p>
      <w:pPr>
        <w:ind w:left="2520" w:firstLine="32"/>
        <w:rPr>
          <w:rFonts w:ascii="仿宋_GB2312" w:hAnsi="黑体" w:eastAsia="仿宋_GB2312"/>
          <w:sz w:val="32"/>
          <w:szCs w:val="32"/>
        </w:rPr>
      </w:pPr>
      <w:r>
        <w:rPr>
          <w:rFonts w:hint="eastAsia" w:ascii="黑体" w:hAnsi="黑体" w:eastAsia="黑体"/>
          <w:sz w:val="32"/>
          <w:szCs w:val="32"/>
        </w:rPr>
        <w:t xml:space="preserve">专业代码 </w:t>
      </w:r>
      <w:r>
        <w:rPr>
          <w:rFonts w:hint="eastAsia" w:ascii="黑体" w:hAnsi="黑体" w:eastAsia="黑体"/>
          <w:sz w:val="32"/>
          <w:szCs w:val="32"/>
          <w:u w:val="single"/>
        </w:rPr>
        <w:t xml:space="preserve">       700306     </w:t>
      </w:r>
    </w:p>
    <w:p>
      <w:pPr>
        <w:ind w:left="2520" w:firstLine="32"/>
        <w:rPr>
          <w:rFonts w:ascii="仿宋_GB2312" w:hAnsi="黑体" w:eastAsia="仿宋_GB2312"/>
          <w:sz w:val="32"/>
          <w:szCs w:val="32"/>
          <w:u w:val="single"/>
        </w:rPr>
      </w:pPr>
      <w:r>
        <w:rPr>
          <w:rFonts w:hint="eastAsia" w:ascii="黑体" w:hAnsi="黑体" w:eastAsia="黑体"/>
          <w:sz w:val="32"/>
          <w:szCs w:val="32"/>
        </w:rPr>
        <w:t xml:space="preserve">基本学制 </w:t>
      </w:r>
      <w:r>
        <w:rPr>
          <w:rFonts w:hint="eastAsia" w:ascii="黑体" w:hAnsi="黑体" w:eastAsia="黑体"/>
          <w:sz w:val="32"/>
          <w:szCs w:val="32"/>
          <w:u w:val="single"/>
        </w:rPr>
        <w:t xml:space="preserve">       三年       </w:t>
      </w:r>
    </w:p>
    <w:p>
      <w:pPr>
        <w:ind w:left="2520" w:firstLine="32"/>
        <w:rPr>
          <w:rFonts w:ascii="仿宋_GB2312" w:hAnsi="黑体" w:eastAsia="仿宋_GB2312"/>
          <w:sz w:val="32"/>
          <w:szCs w:val="32"/>
        </w:rPr>
      </w:pPr>
      <w:r>
        <w:rPr>
          <w:rFonts w:hint="eastAsia" w:ascii="黑体" w:hAnsi="黑体" w:eastAsia="黑体"/>
          <w:sz w:val="32"/>
          <w:szCs w:val="32"/>
        </w:rPr>
        <w:t xml:space="preserve">招生对象 </w:t>
      </w:r>
      <w:r>
        <w:rPr>
          <w:rFonts w:hint="eastAsia" w:ascii="黑体" w:hAnsi="黑体" w:eastAsia="黑体"/>
          <w:sz w:val="32"/>
          <w:szCs w:val="32"/>
          <w:u w:val="single"/>
        </w:rPr>
        <w:t xml:space="preserve">    初中毕业生    </w:t>
      </w:r>
    </w:p>
    <w:p>
      <w:pPr>
        <w:jc w:val="center"/>
        <w:rPr>
          <w:rFonts w:ascii="仿宋_GB2312" w:hAnsi="黑体" w:eastAsia="仿宋_GB2312"/>
          <w:sz w:val="32"/>
          <w:szCs w:val="32"/>
        </w:rPr>
      </w:pPr>
    </w:p>
    <w:p>
      <w:pPr>
        <w:jc w:val="center"/>
        <w:rPr>
          <w:rFonts w:ascii="仿宋_GB2312" w:hAnsi="黑体" w:eastAsia="仿宋_GB2312"/>
          <w:sz w:val="32"/>
          <w:szCs w:val="32"/>
        </w:rPr>
      </w:pPr>
    </w:p>
    <w:p>
      <w:pPr>
        <w:jc w:val="center"/>
        <w:rPr>
          <w:rFonts w:ascii="仿宋_GB2312" w:hAnsi="黑体" w:eastAsia="仿宋_GB2312"/>
          <w:sz w:val="32"/>
          <w:szCs w:val="32"/>
        </w:rPr>
      </w:pPr>
    </w:p>
    <w:p>
      <w:pPr>
        <w:jc w:val="center"/>
        <w:rPr>
          <w:rFonts w:ascii="仿宋_GB2312" w:hAnsi="黑体" w:eastAsia="仿宋_GB2312"/>
          <w:sz w:val="32"/>
          <w:szCs w:val="32"/>
        </w:rPr>
      </w:pPr>
    </w:p>
    <w:p>
      <w:pPr>
        <w:jc w:val="center"/>
        <w:rPr>
          <w:rFonts w:ascii="黑体" w:hAnsi="黑体" w:eastAsia="黑体"/>
          <w:sz w:val="32"/>
          <w:szCs w:val="32"/>
        </w:rPr>
      </w:pPr>
      <w:r>
        <w:rPr>
          <w:rFonts w:hint="eastAsia" w:ascii="黑体" w:hAnsi="黑体" w:eastAsia="黑体"/>
          <w:sz w:val="32"/>
          <w:szCs w:val="32"/>
        </w:rPr>
        <w:t>防城港市理工职业学校</w:t>
      </w:r>
    </w:p>
    <w:p>
      <w:pPr>
        <w:jc w:val="center"/>
        <w:rPr>
          <w:rFonts w:ascii="黑体" w:hAnsi="黑体" w:eastAsia="黑体"/>
          <w:sz w:val="32"/>
          <w:szCs w:val="32"/>
        </w:rPr>
      </w:pPr>
      <w:r>
        <w:rPr>
          <w:rFonts w:hint="eastAsia" w:ascii="黑体" w:hAnsi="黑体" w:eastAsia="黑体"/>
          <w:sz w:val="32"/>
          <w:szCs w:val="32"/>
        </w:rPr>
        <w:t>二○二二年一月</w:t>
      </w:r>
    </w:p>
    <w:p>
      <w:pPr>
        <w:spacing w:line="520" w:lineRule="exact"/>
        <w:jc w:val="center"/>
        <w:rPr>
          <w:b/>
          <w:bCs/>
          <w:sz w:val="44"/>
          <w:szCs w:val="44"/>
        </w:rPr>
      </w:pPr>
    </w:p>
    <w:p>
      <w:pPr>
        <w:spacing w:line="520" w:lineRule="exact"/>
        <w:jc w:val="center"/>
        <w:rPr>
          <w:b/>
          <w:bCs/>
          <w:sz w:val="44"/>
          <w:szCs w:val="44"/>
        </w:rPr>
      </w:pPr>
    </w:p>
    <w:p>
      <w:pPr>
        <w:spacing w:line="520" w:lineRule="exact"/>
        <w:jc w:val="center"/>
        <w:rPr>
          <w:b/>
          <w:bCs/>
          <w:sz w:val="44"/>
          <w:szCs w:val="44"/>
        </w:rPr>
      </w:pPr>
    </w:p>
    <w:p>
      <w:pPr>
        <w:spacing w:line="520" w:lineRule="exact"/>
        <w:jc w:val="center"/>
        <w:rPr>
          <w:b/>
          <w:bCs/>
          <w:sz w:val="44"/>
          <w:szCs w:val="44"/>
        </w:rPr>
      </w:pPr>
    </w:p>
    <w:p>
      <w:pPr>
        <w:spacing w:line="520" w:lineRule="exact"/>
        <w:jc w:val="center"/>
        <w:rPr>
          <w:b/>
          <w:bCs/>
          <w:sz w:val="44"/>
          <w:szCs w:val="44"/>
        </w:rPr>
      </w:pPr>
    </w:p>
    <w:p>
      <w:pPr>
        <w:spacing w:line="520" w:lineRule="exact"/>
        <w:jc w:val="center"/>
        <w:rPr>
          <w:b/>
          <w:bCs/>
          <w:sz w:val="44"/>
          <w:szCs w:val="44"/>
        </w:rPr>
      </w:pPr>
    </w:p>
    <w:p>
      <w:pPr>
        <w:spacing w:line="520" w:lineRule="exact"/>
        <w:jc w:val="center"/>
        <w:rPr>
          <w:b/>
          <w:bCs/>
          <w:sz w:val="44"/>
          <w:szCs w:val="44"/>
        </w:rPr>
      </w:pPr>
    </w:p>
    <w:p>
      <w:pPr>
        <w:spacing w:line="520" w:lineRule="exact"/>
        <w:ind w:firstLine="562" w:firstLineChars="200"/>
        <w:jc w:val="left"/>
        <w:textAlignment w:val="baseline"/>
        <w:rPr>
          <w:rFonts w:ascii="宋体" w:hAnsi="宋体"/>
          <w:sz w:val="28"/>
          <w:szCs w:val="28"/>
        </w:rPr>
      </w:pPr>
      <w:r>
        <w:rPr>
          <w:rFonts w:ascii="宋体" w:hAnsi="宋体"/>
          <w:b/>
          <w:sz w:val="28"/>
          <w:szCs w:val="28"/>
        </w:rPr>
        <w:br w:type="page"/>
      </w:r>
    </w:p>
    <w:sdt>
      <w:sdtPr>
        <w:rPr>
          <w:lang w:val="zh-CN"/>
        </w:rPr>
        <w:id w:val="984361694"/>
        <w:docPartObj>
          <w:docPartGallery w:val="Table of Contents"/>
          <w:docPartUnique/>
        </w:docPartObj>
      </w:sdtPr>
      <w:sdtEndPr>
        <w:rPr>
          <w:rFonts w:ascii="黑体" w:hAnsi="黑体" w:eastAsia="黑体"/>
          <w:b/>
          <w:bCs/>
          <w:sz w:val="28"/>
          <w:szCs w:val="28"/>
          <w:lang w:val="zh-CN"/>
        </w:rPr>
      </w:sdtEndPr>
      <w:sdtContent>
        <w:p>
          <w:pPr>
            <w:jc w:val="center"/>
            <w:rPr>
              <w:rFonts w:ascii="黑体" w:hAnsi="黑体" w:eastAsia="黑体" w:cs="宋体"/>
              <w:b/>
              <w:sz w:val="32"/>
              <w:szCs w:val="32"/>
            </w:rPr>
          </w:pPr>
          <w:bookmarkStart w:id="0" w:name="_Toc22009"/>
          <w:bookmarkStart w:id="1" w:name="_Toc508097552"/>
          <w:r>
            <w:rPr>
              <w:rFonts w:hint="eastAsia" w:ascii="黑体" w:hAnsi="黑体" w:eastAsia="黑体" w:cs="宋体"/>
              <w:b/>
              <w:sz w:val="32"/>
              <w:szCs w:val="32"/>
            </w:rPr>
            <w:t>目录</w:t>
          </w:r>
        </w:p>
        <w:p>
          <w:pPr>
            <w:pStyle w:val="12"/>
            <w:tabs>
              <w:tab w:val="right" w:leader="dot" w:pos="8930"/>
            </w:tabs>
            <w:spacing w:after="0" w:line="560" w:lineRule="exact"/>
            <w:rPr>
              <w:rFonts w:ascii="黑体" w:hAnsi="黑体" w:eastAsia="黑体" w:cs="宋体"/>
              <w:sz w:val="28"/>
              <w:szCs w:val="28"/>
            </w:rPr>
          </w:pP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TOC \o "1-3" \h \z \u </w:instrText>
          </w:r>
          <w:r>
            <w:rPr>
              <w:rFonts w:hint="eastAsia" w:ascii="黑体" w:hAnsi="黑体" w:eastAsia="黑体" w:cs="宋体"/>
              <w:sz w:val="28"/>
              <w:szCs w:val="28"/>
            </w:rPr>
            <w:fldChar w:fldCharType="separate"/>
          </w:r>
          <w:r>
            <w:fldChar w:fldCharType="begin"/>
          </w:r>
          <w:r>
            <w:instrText xml:space="preserve"> HYPERLINK \l "_Toc24683" </w:instrText>
          </w:r>
          <w:r>
            <w:fldChar w:fldCharType="separate"/>
          </w:r>
          <w:r>
            <w:rPr>
              <w:rFonts w:hint="eastAsia" w:ascii="黑体" w:hAnsi="黑体" w:eastAsia="黑体" w:cs="宋体"/>
              <w:sz w:val="28"/>
              <w:szCs w:val="28"/>
            </w:rPr>
            <w:t>一、专业名称与专业代码</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_Toc24683 </w:instrText>
          </w:r>
          <w:r>
            <w:rPr>
              <w:rFonts w:hint="eastAsia" w:ascii="黑体" w:hAnsi="黑体" w:eastAsia="黑体" w:cs="宋体"/>
              <w:sz w:val="28"/>
              <w:szCs w:val="28"/>
            </w:rPr>
            <w:fldChar w:fldCharType="separate"/>
          </w:r>
          <w:r>
            <w:rPr>
              <w:rFonts w:hint="eastAsia" w:ascii="黑体" w:hAnsi="黑体" w:eastAsia="黑体" w:cs="宋体"/>
              <w:sz w:val="28"/>
              <w:szCs w:val="28"/>
            </w:rPr>
            <w:t>4</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2"/>
            <w:tabs>
              <w:tab w:val="right" w:leader="dot" w:pos="8930"/>
            </w:tabs>
            <w:spacing w:after="0" w:line="560" w:lineRule="exact"/>
            <w:rPr>
              <w:rFonts w:ascii="黑体" w:hAnsi="黑体" w:eastAsia="黑体" w:cs="宋体"/>
              <w:sz w:val="28"/>
              <w:szCs w:val="28"/>
            </w:rPr>
          </w:pPr>
          <w:r>
            <w:fldChar w:fldCharType="begin"/>
          </w:r>
          <w:r>
            <w:instrText xml:space="preserve"> HYPERLINK \l "_Toc852" </w:instrText>
          </w:r>
          <w:r>
            <w:fldChar w:fldCharType="separate"/>
          </w:r>
          <w:r>
            <w:rPr>
              <w:rFonts w:hint="eastAsia" w:ascii="黑体" w:hAnsi="黑体" w:eastAsia="黑体" w:cs="宋体"/>
              <w:sz w:val="28"/>
              <w:szCs w:val="28"/>
            </w:rPr>
            <w:t>二、入学要求</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_Toc852 </w:instrText>
          </w:r>
          <w:r>
            <w:rPr>
              <w:rFonts w:hint="eastAsia" w:ascii="黑体" w:hAnsi="黑体" w:eastAsia="黑体" w:cs="宋体"/>
              <w:sz w:val="28"/>
              <w:szCs w:val="28"/>
            </w:rPr>
            <w:fldChar w:fldCharType="separate"/>
          </w:r>
          <w:r>
            <w:rPr>
              <w:rFonts w:hint="eastAsia" w:ascii="黑体" w:hAnsi="黑体" w:eastAsia="黑体" w:cs="宋体"/>
              <w:sz w:val="28"/>
              <w:szCs w:val="28"/>
            </w:rPr>
            <w:t>4</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2"/>
            <w:tabs>
              <w:tab w:val="right" w:leader="dot" w:pos="8930"/>
            </w:tabs>
            <w:spacing w:after="0" w:line="560" w:lineRule="exact"/>
            <w:rPr>
              <w:rFonts w:ascii="黑体" w:hAnsi="黑体" w:eastAsia="黑体" w:cs="宋体"/>
              <w:sz w:val="28"/>
              <w:szCs w:val="28"/>
            </w:rPr>
          </w:pPr>
          <w:r>
            <w:fldChar w:fldCharType="begin"/>
          </w:r>
          <w:r>
            <w:instrText xml:space="preserve"> HYPERLINK \l "_Toc11069" </w:instrText>
          </w:r>
          <w:r>
            <w:fldChar w:fldCharType="separate"/>
          </w:r>
          <w:r>
            <w:rPr>
              <w:rFonts w:hint="eastAsia" w:ascii="黑体" w:hAnsi="黑体" w:eastAsia="黑体" w:cs="宋体"/>
              <w:sz w:val="28"/>
              <w:szCs w:val="28"/>
            </w:rPr>
            <w:t>三、修业年限</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_Toc11069 </w:instrText>
          </w:r>
          <w:r>
            <w:rPr>
              <w:rFonts w:hint="eastAsia" w:ascii="黑体" w:hAnsi="黑体" w:eastAsia="黑体" w:cs="宋体"/>
              <w:sz w:val="28"/>
              <w:szCs w:val="28"/>
            </w:rPr>
            <w:fldChar w:fldCharType="separate"/>
          </w:r>
          <w:r>
            <w:rPr>
              <w:rFonts w:hint="eastAsia" w:ascii="黑体" w:hAnsi="黑体" w:eastAsia="黑体" w:cs="宋体"/>
              <w:sz w:val="28"/>
              <w:szCs w:val="28"/>
            </w:rPr>
            <w:t>4</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2"/>
            <w:tabs>
              <w:tab w:val="right" w:leader="dot" w:pos="8930"/>
            </w:tabs>
            <w:spacing w:after="0" w:line="560" w:lineRule="exact"/>
            <w:rPr>
              <w:rFonts w:ascii="黑体" w:hAnsi="黑体" w:eastAsia="黑体" w:cs="宋体"/>
              <w:sz w:val="28"/>
              <w:szCs w:val="28"/>
            </w:rPr>
          </w:pPr>
          <w:r>
            <w:fldChar w:fldCharType="begin"/>
          </w:r>
          <w:r>
            <w:instrText xml:space="preserve"> HYPERLINK \l "_Toc7173" </w:instrText>
          </w:r>
          <w:r>
            <w:fldChar w:fldCharType="separate"/>
          </w:r>
          <w:r>
            <w:rPr>
              <w:rFonts w:hint="eastAsia" w:ascii="黑体" w:hAnsi="黑体" w:eastAsia="黑体" w:cs="宋体"/>
              <w:sz w:val="28"/>
              <w:szCs w:val="28"/>
            </w:rPr>
            <w:t>四、职业面向</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_Toc7173 </w:instrText>
          </w:r>
          <w:r>
            <w:rPr>
              <w:rFonts w:hint="eastAsia" w:ascii="黑体" w:hAnsi="黑体" w:eastAsia="黑体" w:cs="宋体"/>
              <w:sz w:val="28"/>
              <w:szCs w:val="28"/>
            </w:rPr>
            <w:fldChar w:fldCharType="separate"/>
          </w:r>
          <w:r>
            <w:rPr>
              <w:rFonts w:hint="eastAsia" w:ascii="黑体" w:hAnsi="黑体" w:eastAsia="黑体" w:cs="宋体"/>
              <w:sz w:val="28"/>
              <w:szCs w:val="28"/>
            </w:rPr>
            <w:t>4</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2"/>
            <w:tabs>
              <w:tab w:val="right" w:leader="dot" w:pos="8930"/>
            </w:tabs>
            <w:spacing w:after="0" w:line="560" w:lineRule="exact"/>
            <w:rPr>
              <w:rFonts w:ascii="黑体" w:hAnsi="黑体" w:eastAsia="黑体" w:cs="宋体"/>
              <w:sz w:val="28"/>
              <w:szCs w:val="28"/>
            </w:rPr>
          </w:pPr>
          <w:r>
            <w:fldChar w:fldCharType="begin"/>
          </w:r>
          <w:r>
            <w:instrText xml:space="preserve"> HYPERLINK \l "_Toc209" </w:instrText>
          </w:r>
          <w:r>
            <w:fldChar w:fldCharType="separate"/>
          </w:r>
          <w:r>
            <w:rPr>
              <w:rFonts w:hint="eastAsia" w:ascii="黑体" w:hAnsi="黑体" w:eastAsia="黑体" w:cs="宋体"/>
              <w:sz w:val="28"/>
              <w:szCs w:val="28"/>
            </w:rPr>
            <w:t>五、培养目标与人才培养规格</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_Toc209 </w:instrText>
          </w:r>
          <w:r>
            <w:rPr>
              <w:rFonts w:hint="eastAsia" w:ascii="黑体" w:hAnsi="黑体" w:eastAsia="黑体" w:cs="宋体"/>
              <w:sz w:val="28"/>
              <w:szCs w:val="28"/>
            </w:rPr>
            <w:fldChar w:fldCharType="separate"/>
          </w:r>
          <w:r>
            <w:rPr>
              <w:rFonts w:hint="eastAsia" w:ascii="黑体" w:hAnsi="黑体" w:eastAsia="黑体" w:cs="宋体"/>
              <w:sz w:val="28"/>
              <w:szCs w:val="28"/>
            </w:rPr>
            <w:t>4</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3"/>
            <w:tabs>
              <w:tab w:val="right" w:leader="dot" w:pos="8930"/>
              <w:tab w:val="clear" w:pos="8920"/>
            </w:tabs>
            <w:spacing w:line="560" w:lineRule="exact"/>
            <w:rPr>
              <w:rFonts w:ascii="黑体" w:hAnsi="黑体" w:eastAsia="黑体" w:cs="宋体"/>
              <w:sz w:val="28"/>
              <w:szCs w:val="28"/>
            </w:rPr>
          </w:pPr>
          <w:r>
            <w:fldChar w:fldCharType="begin"/>
          </w:r>
          <w:r>
            <w:instrText xml:space="preserve"> HYPERLINK \l "_Toc6901" </w:instrText>
          </w:r>
          <w:r>
            <w:fldChar w:fldCharType="separate"/>
          </w:r>
          <w:r>
            <w:rPr>
              <w:rFonts w:hint="eastAsia" w:ascii="黑体" w:hAnsi="黑体" w:eastAsia="黑体" w:cs="宋体"/>
              <w:sz w:val="28"/>
              <w:szCs w:val="28"/>
            </w:rPr>
            <w:t>(一)培养目标</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_Toc6901 </w:instrText>
          </w:r>
          <w:r>
            <w:rPr>
              <w:rFonts w:hint="eastAsia" w:ascii="黑体" w:hAnsi="黑体" w:eastAsia="黑体" w:cs="宋体"/>
              <w:sz w:val="28"/>
              <w:szCs w:val="28"/>
            </w:rPr>
            <w:fldChar w:fldCharType="separate"/>
          </w:r>
          <w:r>
            <w:rPr>
              <w:rFonts w:hint="eastAsia" w:ascii="黑体" w:hAnsi="黑体" w:eastAsia="黑体" w:cs="宋体"/>
              <w:sz w:val="28"/>
              <w:szCs w:val="28"/>
            </w:rPr>
            <w:t>4</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3"/>
            <w:tabs>
              <w:tab w:val="right" w:leader="dot" w:pos="8930"/>
              <w:tab w:val="clear" w:pos="8920"/>
            </w:tabs>
            <w:spacing w:line="560" w:lineRule="exact"/>
            <w:rPr>
              <w:rFonts w:ascii="黑体" w:hAnsi="黑体" w:eastAsia="黑体" w:cs="宋体"/>
              <w:sz w:val="28"/>
              <w:szCs w:val="28"/>
            </w:rPr>
          </w:pPr>
          <w:r>
            <w:fldChar w:fldCharType="begin"/>
          </w:r>
          <w:r>
            <w:instrText xml:space="preserve"> HYPERLINK \l "_Toc26914" </w:instrText>
          </w:r>
          <w:r>
            <w:fldChar w:fldCharType="separate"/>
          </w:r>
          <w:r>
            <w:rPr>
              <w:rFonts w:hint="eastAsia" w:ascii="黑体" w:hAnsi="黑体" w:eastAsia="黑体" w:cs="宋体"/>
              <w:sz w:val="28"/>
              <w:szCs w:val="28"/>
            </w:rPr>
            <w:t>(二)培养规格</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_Toc26914 </w:instrText>
          </w:r>
          <w:r>
            <w:rPr>
              <w:rFonts w:hint="eastAsia" w:ascii="黑体" w:hAnsi="黑体" w:eastAsia="黑体" w:cs="宋体"/>
              <w:sz w:val="28"/>
              <w:szCs w:val="28"/>
            </w:rPr>
            <w:fldChar w:fldCharType="separate"/>
          </w:r>
          <w:r>
            <w:rPr>
              <w:rFonts w:hint="eastAsia" w:ascii="黑体" w:hAnsi="黑体" w:eastAsia="黑体" w:cs="宋体"/>
              <w:sz w:val="28"/>
              <w:szCs w:val="28"/>
            </w:rPr>
            <w:t>4</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2"/>
            <w:tabs>
              <w:tab w:val="right" w:leader="dot" w:pos="8930"/>
            </w:tabs>
            <w:spacing w:after="0" w:line="560" w:lineRule="exact"/>
            <w:rPr>
              <w:rFonts w:ascii="黑体" w:hAnsi="黑体" w:eastAsia="黑体" w:cs="宋体"/>
              <w:sz w:val="28"/>
              <w:szCs w:val="28"/>
            </w:rPr>
          </w:pPr>
          <w:r>
            <w:fldChar w:fldCharType="begin"/>
          </w:r>
          <w:r>
            <w:instrText xml:space="preserve"> HYPERLINK \l "_Toc1600" </w:instrText>
          </w:r>
          <w:r>
            <w:fldChar w:fldCharType="separate"/>
          </w:r>
          <w:r>
            <w:rPr>
              <w:rFonts w:hint="eastAsia" w:ascii="黑体" w:hAnsi="黑体" w:eastAsia="黑体" w:cs="宋体"/>
              <w:sz w:val="28"/>
              <w:szCs w:val="28"/>
            </w:rPr>
            <w:t>六、课程设置及要求</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_Toc1600 </w:instrText>
          </w:r>
          <w:r>
            <w:rPr>
              <w:rFonts w:hint="eastAsia" w:ascii="黑体" w:hAnsi="黑体" w:eastAsia="黑体" w:cs="宋体"/>
              <w:sz w:val="28"/>
              <w:szCs w:val="28"/>
            </w:rPr>
            <w:fldChar w:fldCharType="separate"/>
          </w:r>
          <w:r>
            <w:rPr>
              <w:rFonts w:hint="eastAsia" w:ascii="黑体" w:hAnsi="黑体" w:eastAsia="黑体" w:cs="宋体"/>
              <w:sz w:val="28"/>
              <w:szCs w:val="28"/>
            </w:rPr>
            <w:t>6</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3"/>
            <w:tabs>
              <w:tab w:val="right" w:leader="dot" w:pos="8930"/>
              <w:tab w:val="clear" w:pos="8920"/>
            </w:tabs>
            <w:spacing w:line="560" w:lineRule="exact"/>
            <w:rPr>
              <w:rFonts w:ascii="黑体" w:hAnsi="黑体" w:eastAsia="黑体" w:cs="宋体"/>
              <w:sz w:val="28"/>
              <w:szCs w:val="28"/>
            </w:rPr>
          </w:pPr>
          <w:r>
            <w:fldChar w:fldCharType="begin"/>
          </w:r>
          <w:r>
            <w:instrText xml:space="preserve"> HYPERLINK \l "_Toc16292" </w:instrText>
          </w:r>
          <w:r>
            <w:fldChar w:fldCharType="separate"/>
          </w:r>
          <w:r>
            <w:rPr>
              <w:rFonts w:hint="eastAsia" w:ascii="黑体" w:hAnsi="黑体" w:eastAsia="黑体" w:cs="宋体"/>
              <w:sz w:val="28"/>
              <w:szCs w:val="28"/>
            </w:rPr>
            <w:t>（一）公共基础课程</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_Toc16292 </w:instrText>
          </w:r>
          <w:r>
            <w:rPr>
              <w:rFonts w:hint="eastAsia" w:ascii="黑体" w:hAnsi="黑体" w:eastAsia="黑体" w:cs="宋体"/>
              <w:sz w:val="28"/>
              <w:szCs w:val="28"/>
            </w:rPr>
            <w:fldChar w:fldCharType="separate"/>
          </w:r>
          <w:r>
            <w:rPr>
              <w:rFonts w:hint="eastAsia" w:ascii="黑体" w:hAnsi="黑体" w:eastAsia="黑体" w:cs="宋体"/>
              <w:sz w:val="28"/>
              <w:szCs w:val="28"/>
            </w:rPr>
            <w:t>6</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3"/>
            <w:tabs>
              <w:tab w:val="right" w:leader="dot" w:pos="8930"/>
              <w:tab w:val="clear" w:pos="8920"/>
            </w:tabs>
            <w:spacing w:line="560" w:lineRule="exact"/>
            <w:rPr>
              <w:rFonts w:ascii="黑体" w:hAnsi="黑体" w:eastAsia="黑体" w:cs="宋体"/>
              <w:sz w:val="28"/>
              <w:szCs w:val="28"/>
            </w:rPr>
          </w:pPr>
          <w:r>
            <w:fldChar w:fldCharType="begin"/>
          </w:r>
          <w:r>
            <w:instrText xml:space="preserve"> HYPERLINK \l "_Toc10799" </w:instrText>
          </w:r>
          <w:r>
            <w:fldChar w:fldCharType="separate"/>
          </w:r>
          <w:r>
            <w:rPr>
              <w:rFonts w:hint="eastAsia" w:ascii="黑体" w:hAnsi="黑体" w:eastAsia="黑体" w:cs="宋体"/>
              <w:sz w:val="28"/>
              <w:szCs w:val="28"/>
            </w:rPr>
            <w:t>（二）专业（技能）课程</w:t>
          </w:r>
          <w:r>
            <w:rPr>
              <w:rFonts w:hint="eastAsia" w:ascii="黑体" w:hAnsi="黑体" w:eastAsia="黑体" w:cs="宋体"/>
              <w:sz w:val="28"/>
              <w:szCs w:val="28"/>
            </w:rPr>
            <w:tab/>
          </w:r>
          <w:r>
            <w:rPr>
              <w:rFonts w:hint="eastAsia" w:ascii="黑体" w:hAnsi="黑体" w:eastAsia="黑体" w:cs="宋体"/>
              <w:sz w:val="28"/>
              <w:szCs w:val="28"/>
            </w:rPr>
            <w:t>8</w:t>
          </w:r>
          <w:r>
            <w:rPr>
              <w:rFonts w:hint="eastAsia" w:ascii="黑体" w:hAnsi="黑体" w:eastAsia="黑体" w:cs="宋体"/>
              <w:sz w:val="28"/>
              <w:szCs w:val="28"/>
            </w:rPr>
            <w:fldChar w:fldCharType="end"/>
          </w:r>
        </w:p>
        <w:p>
          <w:pPr>
            <w:pStyle w:val="12"/>
            <w:tabs>
              <w:tab w:val="right" w:leader="dot" w:pos="8930"/>
            </w:tabs>
            <w:spacing w:after="0" w:line="560" w:lineRule="exact"/>
            <w:rPr>
              <w:rFonts w:ascii="黑体" w:hAnsi="黑体" w:eastAsia="黑体" w:cs="宋体"/>
              <w:sz w:val="28"/>
              <w:szCs w:val="28"/>
            </w:rPr>
          </w:pPr>
          <w:r>
            <w:fldChar w:fldCharType="begin"/>
          </w:r>
          <w:r>
            <w:instrText xml:space="preserve"> HYPERLINK \l "_Toc2968" </w:instrText>
          </w:r>
          <w:r>
            <w:fldChar w:fldCharType="separate"/>
          </w:r>
          <w:r>
            <w:rPr>
              <w:rFonts w:hint="eastAsia" w:ascii="黑体" w:hAnsi="黑体" w:eastAsia="黑体" w:cs="宋体"/>
              <w:sz w:val="28"/>
              <w:szCs w:val="28"/>
            </w:rPr>
            <w:t>七、教学安排与总体安排</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_Toc2968 </w:instrText>
          </w:r>
          <w:r>
            <w:rPr>
              <w:rFonts w:hint="eastAsia" w:ascii="黑体" w:hAnsi="黑体" w:eastAsia="黑体" w:cs="宋体"/>
              <w:sz w:val="28"/>
              <w:szCs w:val="28"/>
            </w:rPr>
            <w:fldChar w:fldCharType="separate"/>
          </w:r>
          <w:r>
            <w:rPr>
              <w:rFonts w:hint="eastAsia" w:ascii="黑体" w:hAnsi="黑体" w:eastAsia="黑体" w:cs="宋体"/>
              <w:sz w:val="28"/>
              <w:szCs w:val="28"/>
            </w:rPr>
            <w:t>10</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2"/>
            <w:tabs>
              <w:tab w:val="right" w:leader="dot" w:pos="8930"/>
            </w:tabs>
            <w:spacing w:after="0" w:line="560" w:lineRule="exact"/>
            <w:rPr>
              <w:rFonts w:ascii="黑体" w:hAnsi="黑体" w:eastAsia="黑体" w:cs="宋体"/>
              <w:sz w:val="28"/>
              <w:szCs w:val="28"/>
            </w:rPr>
          </w:pPr>
          <w:r>
            <w:fldChar w:fldCharType="begin"/>
          </w:r>
          <w:r>
            <w:instrText xml:space="preserve"> HYPERLINK \l "_Toc5296" </w:instrText>
          </w:r>
          <w:r>
            <w:fldChar w:fldCharType="separate"/>
          </w:r>
          <w:r>
            <w:rPr>
              <w:rFonts w:hint="eastAsia" w:ascii="黑体" w:hAnsi="黑体" w:eastAsia="黑体" w:cs="宋体"/>
              <w:sz w:val="28"/>
              <w:szCs w:val="28"/>
            </w:rPr>
            <w:t>八、实施保障</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_Toc5296 </w:instrText>
          </w:r>
          <w:r>
            <w:rPr>
              <w:rFonts w:hint="eastAsia" w:ascii="黑体" w:hAnsi="黑体" w:eastAsia="黑体" w:cs="宋体"/>
              <w:sz w:val="28"/>
              <w:szCs w:val="28"/>
            </w:rPr>
            <w:fldChar w:fldCharType="separate"/>
          </w:r>
          <w:r>
            <w:rPr>
              <w:rFonts w:hint="eastAsia" w:ascii="黑体" w:hAnsi="黑体" w:eastAsia="黑体" w:cs="宋体"/>
              <w:sz w:val="28"/>
              <w:szCs w:val="28"/>
            </w:rPr>
            <w:t>15</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3"/>
            <w:tabs>
              <w:tab w:val="right" w:leader="dot" w:pos="8930"/>
              <w:tab w:val="clear" w:pos="8920"/>
            </w:tabs>
            <w:spacing w:line="560" w:lineRule="exact"/>
            <w:rPr>
              <w:rFonts w:ascii="黑体" w:hAnsi="黑体" w:eastAsia="黑体" w:cs="宋体"/>
              <w:sz w:val="28"/>
              <w:szCs w:val="28"/>
            </w:rPr>
          </w:pPr>
          <w:r>
            <w:fldChar w:fldCharType="begin"/>
          </w:r>
          <w:r>
            <w:instrText xml:space="preserve"> HYPERLINK \l "_Toc30" </w:instrText>
          </w:r>
          <w:r>
            <w:fldChar w:fldCharType="separate"/>
          </w:r>
          <w:r>
            <w:rPr>
              <w:rFonts w:hint="eastAsia" w:ascii="黑体" w:hAnsi="黑体" w:eastAsia="黑体" w:cs="宋体"/>
              <w:sz w:val="28"/>
              <w:szCs w:val="28"/>
            </w:rPr>
            <w:t>（一）师资队伍</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_Toc30 </w:instrText>
          </w:r>
          <w:r>
            <w:rPr>
              <w:rFonts w:hint="eastAsia" w:ascii="黑体" w:hAnsi="黑体" w:eastAsia="黑体" w:cs="宋体"/>
              <w:sz w:val="28"/>
              <w:szCs w:val="28"/>
            </w:rPr>
            <w:fldChar w:fldCharType="separate"/>
          </w:r>
          <w:r>
            <w:rPr>
              <w:rFonts w:hint="eastAsia" w:ascii="黑体" w:hAnsi="黑体" w:eastAsia="黑体" w:cs="宋体"/>
              <w:sz w:val="28"/>
              <w:szCs w:val="28"/>
            </w:rPr>
            <w:t>15</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3"/>
            <w:tabs>
              <w:tab w:val="right" w:leader="dot" w:pos="8930"/>
              <w:tab w:val="clear" w:pos="8920"/>
            </w:tabs>
            <w:spacing w:line="560" w:lineRule="exact"/>
            <w:rPr>
              <w:rFonts w:ascii="黑体" w:hAnsi="黑体" w:eastAsia="黑体" w:cs="宋体"/>
              <w:sz w:val="28"/>
              <w:szCs w:val="28"/>
            </w:rPr>
          </w:pPr>
          <w:r>
            <w:fldChar w:fldCharType="begin"/>
          </w:r>
          <w:r>
            <w:instrText xml:space="preserve"> HYPERLINK \l "_Toc15782" </w:instrText>
          </w:r>
          <w:r>
            <w:fldChar w:fldCharType="separate"/>
          </w:r>
          <w:r>
            <w:rPr>
              <w:rFonts w:hint="eastAsia" w:ascii="黑体" w:hAnsi="黑体" w:eastAsia="黑体" w:cs="宋体"/>
              <w:sz w:val="28"/>
              <w:szCs w:val="28"/>
            </w:rPr>
            <w:t>（二）教学设施</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_Toc15782 </w:instrText>
          </w:r>
          <w:r>
            <w:rPr>
              <w:rFonts w:hint="eastAsia" w:ascii="黑体" w:hAnsi="黑体" w:eastAsia="黑体" w:cs="宋体"/>
              <w:sz w:val="28"/>
              <w:szCs w:val="28"/>
            </w:rPr>
            <w:fldChar w:fldCharType="separate"/>
          </w:r>
          <w:r>
            <w:rPr>
              <w:rFonts w:hint="eastAsia" w:ascii="黑体" w:hAnsi="黑体" w:eastAsia="黑体" w:cs="宋体"/>
              <w:sz w:val="28"/>
              <w:szCs w:val="28"/>
            </w:rPr>
            <w:t>18</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3"/>
            <w:tabs>
              <w:tab w:val="right" w:leader="dot" w:pos="8930"/>
              <w:tab w:val="clear" w:pos="8920"/>
            </w:tabs>
            <w:spacing w:line="560" w:lineRule="exact"/>
            <w:rPr>
              <w:rFonts w:ascii="黑体" w:hAnsi="黑体" w:eastAsia="黑体" w:cs="宋体"/>
              <w:sz w:val="28"/>
              <w:szCs w:val="28"/>
            </w:rPr>
          </w:pPr>
          <w:r>
            <w:fldChar w:fldCharType="begin"/>
          </w:r>
          <w:r>
            <w:instrText xml:space="preserve"> HYPERLINK \l "_Toc2500" </w:instrText>
          </w:r>
          <w:r>
            <w:fldChar w:fldCharType="separate"/>
          </w:r>
          <w:r>
            <w:rPr>
              <w:rFonts w:hint="eastAsia" w:ascii="黑体" w:hAnsi="黑体" w:eastAsia="黑体" w:cs="宋体"/>
              <w:sz w:val="28"/>
              <w:szCs w:val="28"/>
            </w:rPr>
            <w:t>（三）教学资源</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_Toc2500 </w:instrText>
          </w:r>
          <w:r>
            <w:rPr>
              <w:rFonts w:hint="eastAsia" w:ascii="黑体" w:hAnsi="黑体" w:eastAsia="黑体" w:cs="宋体"/>
              <w:sz w:val="28"/>
              <w:szCs w:val="28"/>
            </w:rPr>
            <w:fldChar w:fldCharType="separate"/>
          </w:r>
          <w:r>
            <w:rPr>
              <w:rFonts w:hint="eastAsia" w:ascii="黑体" w:hAnsi="黑体" w:eastAsia="黑体" w:cs="宋体"/>
              <w:sz w:val="28"/>
              <w:szCs w:val="28"/>
            </w:rPr>
            <w:t>20</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3"/>
            <w:tabs>
              <w:tab w:val="right" w:leader="dot" w:pos="8930"/>
              <w:tab w:val="clear" w:pos="8920"/>
            </w:tabs>
            <w:spacing w:line="560" w:lineRule="exact"/>
            <w:rPr>
              <w:rFonts w:ascii="黑体" w:hAnsi="黑体" w:eastAsia="黑体" w:cs="宋体"/>
              <w:sz w:val="28"/>
              <w:szCs w:val="28"/>
            </w:rPr>
          </w:pPr>
          <w:r>
            <w:fldChar w:fldCharType="begin"/>
          </w:r>
          <w:r>
            <w:instrText xml:space="preserve"> HYPERLINK \l "_Toc19128" </w:instrText>
          </w:r>
          <w:r>
            <w:fldChar w:fldCharType="separate"/>
          </w:r>
          <w:r>
            <w:rPr>
              <w:rFonts w:hint="eastAsia" w:ascii="黑体" w:hAnsi="黑体" w:eastAsia="黑体" w:cs="宋体"/>
              <w:sz w:val="28"/>
              <w:szCs w:val="28"/>
            </w:rPr>
            <w:t>（四）教学方法</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_Toc19128 </w:instrText>
          </w:r>
          <w:r>
            <w:rPr>
              <w:rFonts w:hint="eastAsia" w:ascii="黑体" w:hAnsi="黑体" w:eastAsia="黑体" w:cs="宋体"/>
              <w:sz w:val="28"/>
              <w:szCs w:val="28"/>
            </w:rPr>
            <w:fldChar w:fldCharType="separate"/>
          </w:r>
          <w:r>
            <w:rPr>
              <w:rFonts w:hint="eastAsia" w:ascii="黑体" w:hAnsi="黑体" w:eastAsia="黑体" w:cs="宋体"/>
              <w:sz w:val="28"/>
              <w:szCs w:val="28"/>
            </w:rPr>
            <w:t>20</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3"/>
            <w:tabs>
              <w:tab w:val="right" w:leader="dot" w:pos="8930"/>
              <w:tab w:val="clear" w:pos="8920"/>
            </w:tabs>
            <w:spacing w:line="560" w:lineRule="exact"/>
            <w:rPr>
              <w:rFonts w:ascii="黑体" w:hAnsi="黑体" w:eastAsia="黑体" w:cs="宋体"/>
              <w:sz w:val="28"/>
              <w:szCs w:val="28"/>
            </w:rPr>
          </w:pPr>
          <w:r>
            <w:fldChar w:fldCharType="begin"/>
          </w:r>
          <w:r>
            <w:instrText xml:space="preserve"> HYPERLINK \l "_Toc15778" </w:instrText>
          </w:r>
          <w:r>
            <w:fldChar w:fldCharType="separate"/>
          </w:r>
          <w:r>
            <w:rPr>
              <w:rFonts w:hint="eastAsia" w:ascii="黑体" w:hAnsi="黑体" w:eastAsia="黑体" w:cs="宋体"/>
              <w:sz w:val="28"/>
              <w:szCs w:val="28"/>
            </w:rPr>
            <w:t>（五）学习评价</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_Toc15778 </w:instrText>
          </w:r>
          <w:r>
            <w:rPr>
              <w:rFonts w:hint="eastAsia" w:ascii="黑体" w:hAnsi="黑体" w:eastAsia="黑体" w:cs="宋体"/>
              <w:sz w:val="28"/>
              <w:szCs w:val="28"/>
            </w:rPr>
            <w:fldChar w:fldCharType="separate"/>
          </w:r>
          <w:r>
            <w:rPr>
              <w:rFonts w:hint="eastAsia" w:ascii="黑体" w:hAnsi="黑体" w:eastAsia="黑体" w:cs="宋体"/>
              <w:sz w:val="28"/>
              <w:szCs w:val="28"/>
            </w:rPr>
            <w:t>20</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3"/>
            <w:tabs>
              <w:tab w:val="right" w:leader="dot" w:pos="8930"/>
              <w:tab w:val="clear" w:pos="8920"/>
            </w:tabs>
            <w:spacing w:line="560" w:lineRule="exact"/>
            <w:rPr>
              <w:rFonts w:ascii="黑体" w:hAnsi="黑体" w:eastAsia="黑体" w:cs="宋体"/>
              <w:sz w:val="28"/>
              <w:szCs w:val="28"/>
            </w:rPr>
          </w:pPr>
          <w:r>
            <w:fldChar w:fldCharType="begin"/>
          </w:r>
          <w:r>
            <w:instrText xml:space="preserve"> HYPERLINK \l "_Toc4736" </w:instrText>
          </w:r>
          <w:r>
            <w:fldChar w:fldCharType="separate"/>
          </w:r>
          <w:r>
            <w:rPr>
              <w:rFonts w:hint="eastAsia" w:ascii="黑体" w:hAnsi="黑体" w:eastAsia="黑体" w:cs="宋体"/>
              <w:sz w:val="28"/>
              <w:szCs w:val="28"/>
            </w:rPr>
            <w:t>（六）质量管理</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_Toc4736 </w:instrText>
          </w:r>
          <w:r>
            <w:rPr>
              <w:rFonts w:hint="eastAsia" w:ascii="黑体" w:hAnsi="黑体" w:eastAsia="黑体" w:cs="宋体"/>
              <w:sz w:val="28"/>
              <w:szCs w:val="28"/>
            </w:rPr>
            <w:fldChar w:fldCharType="separate"/>
          </w:r>
          <w:r>
            <w:rPr>
              <w:rFonts w:hint="eastAsia" w:ascii="黑体" w:hAnsi="黑体" w:eastAsia="黑体" w:cs="宋体"/>
              <w:sz w:val="28"/>
              <w:szCs w:val="28"/>
            </w:rPr>
            <w:t>22</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2"/>
            <w:tabs>
              <w:tab w:val="right" w:leader="dot" w:pos="8930"/>
            </w:tabs>
            <w:spacing w:after="0" w:line="560" w:lineRule="exact"/>
            <w:rPr>
              <w:rFonts w:ascii="黑体" w:hAnsi="黑体" w:eastAsia="黑体" w:cs="宋体"/>
              <w:sz w:val="28"/>
              <w:szCs w:val="28"/>
            </w:rPr>
          </w:pPr>
          <w:r>
            <w:fldChar w:fldCharType="begin"/>
          </w:r>
          <w:r>
            <w:instrText xml:space="preserve"> HYPERLINK \l "_Toc24133" </w:instrText>
          </w:r>
          <w:r>
            <w:fldChar w:fldCharType="separate"/>
          </w:r>
          <w:r>
            <w:rPr>
              <w:rFonts w:hint="eastAsia" w:ascii="黑体" w:hAnsi="黑体" w:eastAsia="黑体" w:cs="宋体"/>
              <w:sz w:val="28"/>
              <w:szCs w:val="28"/>
            </w:rPr>
            <w:t>九、毕业要求</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_Toc24133 </w:instrText>
          </w:r>
          <w:r>
            <w:rPr>
              <w:rFonts w:hint="eastAsia" w:ascii="黑体" w:hAnsi="黑体" w:eastAsia="黑体" w:cs="宋体"/>
              <w:sz w:val="28"/>
              <w:szCs w:val="28"/>
            </w:rPr>
            <w:fldChar w:fldCharType="separate"/>
          </w:r>
          <w:r>
            <w:rPr>
              <w:rFonts w:hint="eastAsia" w:ascii="黑体" w:hAnsi="黑体" w:eastAsia="黑体" w:cs="宋体"/>
              <w:sz w:val="28"/>
              <w:szCs w:val="28"/>
            </w:rPr>
            <w:t>22</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pStyle w:val="12"/>
            <w:tabs>
              <w:tab w:val="right" w:leader="dot" w:pos="8930"/>
            </w:tabs>
            <w:spacing w:after="0" w:line="560" w:lineRule="exact"/>
            <w:rPr>
              <w:rFonts w:ascii="黑体" w:hAnsi="黑体" w:eastAsia="黑体"/>
              <w:sz w:val="28"/>
              <w:szCs w:val="28"/>
            </w:rPr>
          </w:pPr>
          <w:r>
            <w:fldChar w:fldCharType="begin"/>
          </w:r>
          <w:r>
            <w:instrText xml:space="preserve"> HYPERLINK \l "_Toc25161" </w:instrText>
          </w:r>
          <w:r>
            <w:fldChar w:fldCharType="separate"/>
          </w:r>
          <w:r>
            <w:rPr>
              <w:rFonts w:hint="eastAsia" w:ascii="黑体" w:hAnsi="黑体" w:eastAsia="黑体" w:cs="宋体"/>
              <w:sz w:val="28"/>
              <w:szCs w:val="28"/>
            </w:rPr>
            <w:t>十、附录</w:t>
          </w:r>
          <w:r>
            <w:rPr>
              <w:rFonts w:hint="eastAsia" w:ascii="黑体" w:hAnsi="黑体" w:eastAsia="黑体" w:cs="宋体"/>
              <w:sz w:val="28"/>
              <w:szCs w:val="28"/>
            </w:rPr>
            <w:tab/>
          </w:r>
          <w:r>
            <w:rPr>
              <w:rFonts w:hint="eastAsia" w:ascii="黑体" w:hAnsi="黑体" w:eastAsia="黑体" w:cs="宋体"/>
              <w:sz w:val="28"/>
              <w:szCs w:val="28"/>
            </w:rPr>
            <w:fldChar w:fldCharType="begin"/>
          </w:r>
          <w:r>
            <w:rPr>
              <w:rFonts w:hint="eastAsia" w:ascii="黑体" w:hAnsi="黑体" w:eastAsia="黑体" w:cs="宋体"/>
              <w:sz w:val="28"/>
              <w:szCs w:val="28"/>
            </w:rPr>
            <w:instrText xml:space="preserve"> PAGEREF _Toc25161 </w:instrText>
          </w:r>
          <w:r>
            <w:rPr>
              <w:rFonts w:hint="eastAsia" w:ascii="黑体" w:hAnsi="黑体" w:eastAsia="黑体" w:cs="宋体"/>
              <w:sz w:val="28"/>
              <w:szCs w:val="28"/>
            </w:rPr>
            <w:fldChar w:fldCharType="separate"/>
          </w:r>
          <w:r>
            <w:rPr>
              <w:rFonts w:hint="eastAsia" w:ascii="黑体" w:hAnsi="黑体" w:eastAsia="黑体" w:cs="宋体"/>
              <w:sz w:val="28"/>
              <w:szCs w:val="28"/>
            </w:rPr>
            <w:t>22</w:t>
          </w:r>
          <w:r>
            <w:rPr>
              <w:rFonts w:hint="eastAsia" w:ascii="黑体" w:hAnsi="黑体" w:eastAsia="黑体" w:cs="宋体"/>
              <w:sz w:val="28"/>
              <w:szCs w:val="28"/>
            </w:rPr>
            <w:fldChar w:fldCharType="end"/>
          </w:r>
          <w:r>
            <w:rPr>
              <w:rFonts w:hint="eastAsia" w:ascii="黑体" w:hAnsi="黑体" w:eastAsia="黑体" w:cs="宋体"/>
              <w:sz w:val="28"/>
              <w:szCs w:val="28"/>
            </w:rPr>
            <w:fldChar w:fldCharType="end"/>
          </w:r>
        </w:p>
        <w:p>
          <w:pPr>
            <w:spacing w:line="560" w:lineRule="exact"/>
            <w:rPr>
              <w:rFonts w:ascii="黑体" w:hAnsi="黑体" w:eastAsia="黑体"/>
              <w:b/>
              <w:bCs/>
              <w:sz w:val="28"/>
              <w:szCs w:val="28"/>
              <w:lang w:val="zh-CN"/>
            </w:rPr>
            <w:sectPr>
              <w:footerReference r:id="rId3" w:type="default"/>
              <w:pgSz w:w="11906" w:h="16838"/>
              <w:pgMar w:top="1440" w:right="1558" w:bottom="1440" w:left="1418" w:header="851" w:footer="992" w:gutter="0"/>
              <w:pgNumType w:start="1"/>
              <w:cols w:space="425" w:num="1"/>
              <w:docGrid w:type="lines" w:linePitch="312" w:charSpace="0"/>
            </w:sectPr>
          </w:pPr>
          <w:r>
            <w:rPr>
              <w:rFonts w:hint="eastAsia" w:ascii="黑体" w:hAnsi="黑体" w:eastAsia="黑体" w:cs="宋体"/>
              <w:bCs/>
              <w:sz w:val="28"/>
              <w:szCs w:val="28"/>
              <w:lang w:val="zh-CN"/>
            </w:rPr>
            <w:fldChar w:fldCharType="end"/>
          </w:r>
        </w:p>
      </w:sdtContent>
    </w:sdt>
    <w:bookmarkEnd w:id="0"/>
    <w:bookmarkEnd w:id="1"/>
    <w:p>
      <w:pPr>
        <w:pStyle w:val="2"/>
        <w:spacing w:after="0" w:line="360" w:lineRule="auto"/>
        <w:jc w:val="left"/>
        <w:rPr>
          <w:rFonts w:ascii="黑体" w:hAnsi="仿宋_GB2312" w:eastAsia="黑体" w:cs="仿宋_GB2312"/>
          <w:bCs w:val="0"/>
          <w:kern w:val="2"/>
          <w:sz w:val="32"/>
          <w:szCs w:val="32"/>
        </w:rPr>
      </w:pPr>
      <w:bookmarkStart w:id="2" w:name="_Toc24683"/>
      <w:r>
        <w:rPr>
          <w:rFonts w:hint="eastAsia" w:ascii="黑体" w:hAnsi="仿宋_GB2312" w:eastAsia="黑体" w:cs="仿宋_GB2312"/>
          <w:bCs w:val="0"/>
          <w:kern w:val="2"/>
          <w:sz w:val="32"/>
          <w:szCs w:val="32"/>
        </w:rPr>
        <w:t>一、专业名称与专业代码</w:t>
      </w:r>
      <w:bookmarkEnd w:id="2"/>
    </w:p>
    <w:p>
      <w:pPr>
        <w:pStyle w:val="14"/>
        <w:spacing w:before="20" w:beforeAutospacing="0" w:after="20" w:afterAutospacing="0" w:line="560" w:lineRule="exact"/>
        <w:ind w:firstLine="560" w:firstLineChars="200"/>
        <w:rPr>
          <w:rFonts w:ascii="仿宋_GB2312" w:eastAsia="仿宋_GB2312"/>
          <w:sz w:val="32"/>
          <w:szCs w:val="32"/>
          <w:lang w:val="zh-CN"/>
        </w:rPr>
      </w:pPr>
      <w:r>
        <w:rPr>
          <w:rFonts w:hint="eastAsia"/>
          <w:sz w:val="28"/>
          <w:szCs w:val="28"/>
        </w:rPr>
        <w:t>专业名称：</w:t>
      </w:r>
      <w:r>
        <w:rPr>
          <w:rFonts w:hint="eastAsia" w:ascii="仿宋_GB2312" w:eastAsia="仿宋_GB2312"/>
          <w:sz w:val="32"/>
          <w:szCs w:val="32"/>
          <w:lang w:val="zh-CN"/>
        </w:rPr>
        <w:t>港口机械运用与维修</w:t>
      </w:r>
    </w:p>
    <w:p>
      <w:pPr>
        <w:pStyle w:val="6"/>
        <w:spacing w:line="360" w:lineRule="auto"/>
        <w:ind w:left="560"/>
        <w:rPr>
          <w:rFonts w:ascii="宋体" w:hAnsi="宋体" w:eastAsia="黑体" w:cs="Times New Roman"/>
          <w:sz w:val="28"/>
          <w:szCs w:val="28"/>
          <w:lang w:val="en-US" w:bidi="ar-SA"/>
        </w:rPr>
      </w:pPr>
      <w:r>
        <w:rPr>
          <w:rFonts w:hint="eastAsia" w:ascii="宋体" w:hAnsi="宋体" w:eastAsia="宋体" w:cs="Times New Roman"/>
          <w:sz w:val="28"/>
          <w:szCs w:val="28"/>
          <w:lang w:val="en-US" w:bidi="ar-SA"/>
        </w:rPr>
        <w:t>专业代码：</w:t>
      </w:r>
      <w:bookmarkStart w:id="3" w:name="_Toc16316_WPSOffice_Level1"/>
      <w:r>
        <w:rPr>
          <w:rFonts w:hint="eastAsia" w:ascii="仿宋_GB2312" w:eastAsia="仿宋_GB2312"/>
          <w:sz w:val="32"/>
          <w:szCs w:val="32"/>
        </w:rPr>
        <w:t>700306</w:t>
      </w:r>
    </w:p>
    <w:p>
      <w:pPr>
        <w:pStyle w:val="2"/>
        <w:spacing w:after="0" w:line="360" w:lineRule="auto"/>
        <w:jc w:val="left"/>
        <w:rPr>
          <w:rFonts w:ascii="黑体" w:hAnsi="仿宋_GB2312" w:eastAsia="黑体" w:cs="仿宋_GB2312"/>
          <w:bCs w:val="0"/>
          <w:kern w:val="2"/>
          <w:sz w:val="32"/>
          <w:szCs w:val="32"/>
        </w:rPr>
      </w:pPr>
      <w:bookmarkStart w:id="4" w:name="_Toc852"/>
      <w:r>
        <w:rPr>
          <w:rFonts w:hint="eastAsia" w:ascii="黑体" w:hAnsi="仿宋_GB2312" w:eastAsia="黑体" w:cs="仿宋_GB2312"/>
          <w:bCs w:val="0"/>
          <w:kern w:val="2"/>
          <w:sz w:val="32"/>
          <w:szCs w:val="32"/>
        </w:rPr>
        <w:t>二、</w:t>
      </w:r>
      <w:bookmarkEnd w:id="3"/>
      <w:r>
        <w:rPr>
          <w:rFonts w:hint="eastAsia" w:ascii="黑体" w:hAnsi="仿宋_GB2312" w:eastAsia="黑体" w:cs="仿宋_GB2312"/>
          <w:bCs w:val="0"/>
          <w:kern w:val="2"/>
          <w:sz w:val="32"/>
          <w:szCs w:val="32"/>
        </w:rPr>
        <w:t>入学要求</w:t>
      </w:r>
      <w:bookmarkEnd w:id="4"/>
    </w:p>
    <w:p>
      <w:pPr>
        <w:spacing w:line="360" w:lineRule="auto"/>
        <w:ind w:firstLine="640" w:firstLineChars="200"/>
        <w:jc w:val="left"/>
        <w:rPr>
          <w:rFonts w:ascii="仿宋_GB2312" w:hAnsi="宋体" w:eastAsia="仿宋_GB2312"/>
          <w:kern w:val="0"/>
          <w:sz w:val="32"/>
          <w:szCs w:val="32"/>
          <w:lang w:val="zh-CN"/>
        </w:rPr>
      </w:pPr>
      <w:r>
        <w:rPr>
          <w:rFonts w:hint="eastAsia" w:ascii="仿宋_GB2312" w:hAnsi="宋体" w:eastAsia="仿宋_GB2312"/>
          <w:kern w:val="0"/>
          <w:sz w:val="32"/>
          <w:szCs w:val="32"/>
          <w:lang w:val="zh-CN"/>
        </w:rPr>
        <w:t>初中毕业生或具同等学历者</w:t>
      </w:r>
      <w:bookmarkStart w:id="5" w:name="_Toc72_WPSOffice_Level1"/>
    </w:p>
    <w:p>
      <w:pPr>
        <w:pStyle w:val="2"/>
        <w:spacing w:after="0" w:line="360" w:lineRule="auto"/>
        <w:jc w:val="left"/>
        <w:rPr>
          <w:rFonts w:ascii="黑体" w:hAnsi="仿宋_GB2312" w:eastAsia="黑体" w:cs="仿宋_GB2312"/>
          <w:bCs w:val="0"/>
          <w:kern w:val="2"/>
          <w:sz w:val="32"/>
          <w:szCs w:val="32"/>
        </w:rPr>
      </w:pPr>
      <w:bookmarkStart w:id="6" w:name="_Toc11069"/>
      <w:r>
        <w:rPr>
          <w:rFonts w:hint="eastAsia" w:ascii="黑体" w:hAnsi="仿宋_GB2312" w:eastAsia="黑体" w:cs="仿宋_GB2312"/>
          <w:bCs w:val="0"/>
          <w:kern w:val="2"/>
          <w:sz w:val="32"/>
          <w:szCs w:val="32"/>
        </w:rPr>
        <w:t>三、</w:t>
      </w:r>
      <w:bookmarkEnd w:id="5"/>
      <w:r>
        <w:rPr>
          <w:rFonts w:hint="eastAsia" w:ascii="黑体" w:hAnsi="仿宋_GB2312" w:eastAsia="黑体" w:cs="仿宋_GB2312"/>
          <w:bCs w:val="0"/>
          <w:kern w:val="2"/>
          <w:sz w:val="32"/>
          <w:szCs w:val="32"/>
        </w:rPr>
        <w:t>修业年限</w:t>
      </w:r>
      <w:bookmarkEnd w:id="6"/>
    </w:p>
    <w:p>
      <w:pPr>
        <w:spacing w:line="360" w:lineRule="auto"/>
        <w:ind w:firstLine="640" w:firstLineChars="200"/>
        <w:jc w:val="left"/>
        <w:rPr>
          <w:rFonts w:ascii="仿宋_GB2312" w:hAnsi="宋体" w:eastAsia="仿宋_GB2312"/>
          <w:kern w:val="0"/>
          <w:sz w:val="32"/>
          <w:szCs w:val="32"/>
          <w:lang w:val="zh-CN"/>
        </w:rPr>
      </w:pPr>
      <w:bookmarkStart w:id="7" w:name="_Toc10942_WPSOffice_Level1"/>
      <w:r>
        <w:rPr>
          <w:rFonts w:hint="eastAsia" w:ascii="仿宋_GB2312" w:hAnsi="宋体" w:eastAsia="仿宋_GB2312"/>
          <w:kern w:val="0"/>
          <w:sz w:val="32"/>
          <w:szCs w:val="32"/>
          <w:lang w:val="zh-CN"/>
        </w:rPr>
        <w:t>三年</w:t>
      </w:r>
    </w:p>
    <w:p>
      <w:pPr>
        <w:pStyle w:val="2"/>
        <w:spacing w:after="0" w:line="360" w:lineRule="auto"/>
        <w:jc w:val="left"/>
        <w:rPr>
          <w:rFonts w:ascii="黑体" w:hAnsi="仿宋_GB2312" w:eastAsia="黑体" w:cs="仿宋_GB2312"/>
          <w:bCs w:val="0"/>
          <w:kern w:val="2"/>
          <w:sz w:val="32"/>
          <w:szCs w:val="32"/>
        </w:rPr>
      </w:pPr>
      <w:bookmarkStart w:id="8" w:name="_Toc7173"/>
      <w:r>
        <w:rPr>
          <w:rFonts w:hint="eastAsia" w:ascii="黑体" w:hAnsi="仿宋_GB2312" w:eastAsia="黑体" w:cs="仿宋_GB2312"/>
          <w:bCs w:val="0"/>
          <w:kern w:val="2"/>
          <w:sz w:val="32"/>
          <w:szCs w:val="32"/>
        </w:rPr>
        <w:t>四、职业面向</w:t>
      </w:r>
      <w:bookmarkEnd w:id="7"/>
      <w:bookmarkEnd w:id="8"/>
    </w:p>
    <w:tbl>
      <w:tblPr>
        <w:tblStyle w:val="15"/>
        <w:tblpPr w:leftFromText="180" w:rightFromText="180" w:vertAnchor="text" w:horzAnchor="page" w:tblpX="1187" w:tblpY="466"/>
        <w:tblOverlap w:val="never"/>
        <w:tblW w:w="9580" w:type="dxa"/>
        <w:tblInd w:w="0"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801"/>
        <w:gridCol w:w="2770"/>
        <w:gridCol w:w="2706"/>
        <w:gridCol w:w="330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63" w:hRule="atLeast"/>
        </w:trPr>
        <w:tc>
          <w:tcPr>
            <w:tcW w:w="801" w:type="dxa"/>
          </w:tcPr>
          <w:p>
            <w:pPr>
              <w:pStyle w:val="14"/>
              <w:spacing w:before="0" w:beforeAutospacing="0" w:after="0" w:afterAutospacing="0" w:line="560" w:lineRule="exact"/>
              <w:jc w:val="both"/>
              <w:rPr>
                <w:rFonts w:ascii="仿宋_GB2312" w:hAnsi="Times New Roman" w:eastAsia="仿宋_GB2312"/>
                <w:b/>
                <w:bCs/>
                <w:color w:val="000000"/>
                <w:kern w:val="2"/>
                <w:sz w:val="32"/>
                <w:szCs w:val="32"/>
              </w:rPr>
            </w:pPr>
            <w:r>
              <w:rPr>
                <w:rFonts w:hint="eastAsia" w:ascii="仿宋_GB2312" w:hAnsi="Times New Roman" w:eastAsia="仿宋_GB2312"/>
                <w:b/>
                <w:bCs/>
                <w:color w:val="000000"/>
                <w:kern w:val="2"/>
                <w:sz w:val="32"/>
                <w:szCs w:val="32"/>
              </w:rPr>
              <w:t>序号</w:t>
            </w:r>
          </w:p>
        </w:tc>
        <w:tc>
          <w:tcPr>
            <w:tcW w:w="2770" w:type="dxa"/>
          </w:tcPr>
          <w:p>
            <w:pPr>
              <w:pStyle w:val="14"/>
              <w:spacing w:before="0" w:beforeAutospacing="0" w:after="0" w:afterAutospacing="0" w:line="560" w:lineRule="exact"/>
              <w:jc w:val="both"/>
              <w:rPr>
                <w:rFonts w:ascii="仿宋_GB2312" w:hAnsi="Times New Roman" w:eastAsia="仿宋_GB2312"/>
                <w:b/>
                <w:bCs/>
                <w:color w:val="000000"/>
                <w:kern w:val="2"/>
                <w:sz w:val="32"/>
                <w:szCs w:val="32"/>
              </w:rPr>
            </w:pPr>
            <w:r>
              <w:rPr>
                <w:rFonts w:hint="eastAsia" w:ascii="仿宋_GB2312" w:hAnsi="Times New Roman" w:eastAsia="仿宋_GB2312"/>
                <w:b/>
                <w:bCs/>
                <w:color w:val="000000"/>
                <w:kern w:val="2"/>
                <w:sz w:val="32"/>
                <w:szCs w:val="32"/>
              </w:rPr>
              <w:t>对应职业（岗位）</w:t>
            </w:r>
          </w:p>
        </w:tc>
        <w:tc>
          <w:tcPr>
            <w:tcW w:w="2706" w:type="dxa"/>
          </w:tcPr>
          <w:p>
            <w:pPr>
              <w:pStyle w:val="14"/>
              <w:spacing w:before="0" w:beforeAutospacing="0" w:after="0" w:afterAutospacing="0" w:line="560" w:lineRule="exact"/>
              <w:jc w:val="both"/>
              <w:rPr>
                <w:rFonts w:ascii="仿宋_GB2312" w:hAnsi="Times New Roman" w:eastAsia="仿宋_GB2312"/>
                <w:b/>
                <w:bCs/>
                <w:color w:val="000000"/>
                <w:kern w:val="2"/>
                <w:sz w:val="32"/>
                <w:szCs w:val="32"/>
              </w:rPr>
            </w:pPr>
            <w:r>
              <w:rPr>
                <w:rFonts w:hint="eastAsia" w:ascii="仿宋_GB2312" w:hAnsi="Times New Roman" w:eastAsia="仿宋_GB2312"/>
                <w:b/>
                <w:bCs/>
                <w:color w:val="000000"/>
                <w:kern w:val="2"/>
                <w:sz w:val="32"/>
                <w:szCs w:val="32"/>
              </w:rPr>
              <w:t>职业资格证书举例</w:t>
            </w:r>
          </w:p>
        </w:tc>
        <w:tc>
          <w:tcPr>
            <w:tcW w:w="3303" w:type="dxa"/>
          </w:tcPr>
          <w:p>
            <w:pPr>
              <w:pStyle w:val="14"/>
              <w:spacing w:before="0" w:beforeAutospacing="0" w:after="0" w:afterAutospacing="0" w:line="560" w:lineRule="exact"/>
              <w:jc w:val="both"/>
              <w:rPr>
                <w:rFonts w:ascii="仿宋_GB2312" w:hAnsi="Times New Roman" w:eastAsia="仿宋_GB2312"/>
                <w:b/>
                <w:bCs/>
                <w:color w:val="000000"/>
                <w:kern w:val="2"/>
                <w:sz w:val="32"/>
                <w:szCs w:val="32"/>
              </w:rPr>
            </w:pPr>
            <w:r>
              <w:rPr>
                <w:rFonts w:hint="eastAsia" w:ascii="仿宋_GB2312" w:hAnsi="Times New Roman" w:eastAsia="仿宋_GB2312"/>
                <w:b/>
                <w:bCs/>
                <w:color w:val="000000"/>
                <w:kern w:val="2"/>
                <w:sz w:val="32"/>
                <w:szCs w:val="32"/>
              </w:rPr>
              <w:t>专业（技能）方向</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587" w:hRule="atLeast"/>
        </w:trPr>
        <w:tc>
          <w:tcPr>
            <w:tcW w:w="801" w:type="dxa"/>
          </w:tcPr>
          <w:p>
            <w:pPr>
              <w:pStyle w:val="14"/>
              <w:spacing w:before="0" w:beforeAutospacing="0" w:after="0" w:afterAutospacing="0" w:line="560" w:lineRule="exact"/>
              <w:ind w:firstLine="640" w:firstLineChars="200"/>
              <w:jc w:val="center"/>
              <w:rPr>
                <w:rFonts w:ascii="仿宋_GB2312" w:hAnsi="Times New Roman" w:eastAsia="仿宋_GB2312"/>
                <w:color w:val="000000"/>
                <w:kern w:val="2"/>
                <w:sz w:val="32"/>
                <w:szCs w:val="32"/>
              </w:rPr>
            </w:pPr>
          </w:p>
          <w:p>
            <w:pPr>
              <w:pStyle w:val="14"/>
              <w:spacing w:before="0" w:beforeAutospacing="0" w:after="0" w:afterAutospacing="0" w:line="560" w:lineRule="exact"/>
              <w:jc w:val="center"/>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1</w:t>
            </w:r>
          </w:p>
        </w:tc>
        <w:tc>
          <w:tcPr>
            <w:tcW w:w="2770" w:type="dxa"/>
          </w:tcPr>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港口机械操作工</w:t>
            </w:r>
          </w:p>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港口机械操作工</w:t>
            </w:r>
          </w:p>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港口机械操作工</w:t>
            </w:r>
          </w:p>
        </w:tc>
        <w:tc>
          <w:tcPr>
            <w:tcW w:w="2706" w:type="dxa"/>
          </w:tcPr>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叉车驾驶作业</w:t>
            </w:r>
          </w:p>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装载机驾驶作业</w:t>
            </w:r>
          </w:p>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挖掘机驾驶作业</w:t>
            </w:r>
          </w:p>
          <w:p>
            <w:pPr>
              <w:pStyle w:val="14"/>
              <w:spacing w:before="0" w:beforeAutospacing="0" w:after="0" w:afterAutospacing="0" w:line="560" w:lineRule="exact"/>
              <w:ind w:firstLine="640" w:firstLineChars="200"/>
              <w:jc w:val="both"/>
              <w:rPr>
                <w:rFonts w:ascii="仿宋_GB2312" w:hAnsi="Times New Roman" w:eastAsia="仿宋_GB2312"/>
                <w:color w:val="000000"/>
                <w:kern w:val="2"/>
                <w:sz w:val="32"/>
                <w:szCs w:val="32"/>
              </w:rPr>
            </w:pPr>
          </w:p>
        </w:tc>
        <w:tc>
          <w:tcPr>
            <w:tcW w:w="3303" w:type="dxa"/>
          </w:tcPr>
          <w:p>
            <w:pPr>
              <w:pStyle w:val="14"/>
              <w:spacing w:before="0" w:beforeAutospacing="0" w:after="0" w:afterAutospacing="0" w:line="560" w:lineRule="exact"/>
              <w:ind w:firstLine="640" w:firstLineChars="200"/>
              <w:jc w:val="both"/>
              <w:rPr>
                <w:rFonts w:ascii="仿宋_GB2312" w:hAnsi="Times New Roman" w:eastAsia="仿宋_GB2312"/>
                <w:color w:val="000000"/>
                <w:kern w:val="2"/>
                <w:sz w:val="32"/>
                <w:szCs w:val="32"/>
              </w:rPr>
            </w:pPr>
          </w:p>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港口机械运用与维修</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44" w:hRule="atLeast"/>
        </w:trPr>
        <w:tc>
          <w:tcPr>
            <w:tcW w:w="801" w:type="dxa"/>
          </w:tcPr>
          <w:p>
            <w:pPr>
              <w:pStyle w:val="14"/>
              <w:spacing w:before="0" w:beforeAutospacing="0" w:after="0" w:afterAutospacing="0" w:line="560" w:lineRule="exact"/>
              <w:ind w:firstLine="640" w:firstLineChars="200"/>
              <w:jc w:val="center"/>
              <w:rPr>
                <w:rFonts w:ascii="仿宋_GB2312" w:hAnsi="Times New Roman" w:eastAsia="仿宋_GB2312"/>
                <w:color w:val="000000"/>
                <w:kern w:val="2"/>
                <w:sz w:val="32"/>
                <w:szCs w:val="32"/>
              </w:rPr>
            </w:pPr>
          </w:p>
          <w:p>
            <w:pPr>
              <w:pStyle w:val="14"/>
              <w:spacing w:before="0" w:beforeAutospacing="0" w:after="0" w:afterAutospacing="0" w:line="560" w:lineRule="exact"/>
              <w:jc w:val="center"/>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2</w:t>
            </w:r>
          </w:p>
        </w:tc>
        <w:tc>
          <w:tcPr>
            <w:tcW w:w="2770" w:type="dxa"/>
          </w:tcPr>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起重机机械操作工</w:t>
            </w:r>
          </w:p>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港口设备管理员</w:t>
            </w:r>
          </w:p>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港口设备安装工</w:t>
            </w:r>
          </w:p>
        </w:tc>
        <w:tc>
          <w:tcPr>
            <w:tcW w:w="2706" w:type="dxa"/>
          </w:tcPr>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起重机械指挥作业</w:t>
            </w:r>
          </w:p>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机械设备管理</w:t>
            </w:r>
          </w:p>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机械设备安装工</w:t>
            </w:r>
          </w:p>
        </w:tc>
        <w:tc>
          <w:tcPr>
            <w:tcW w:w="3303" w:type="dxa"/>
          </w:tcPr>
          <w:p>
            <w:pPr>
              <w:pStyle w:val="14"/>
              <w:spacing w:before="0" w:beforeAutospacing="0" w:after="0" w:afterAutospacing="0" w:line="560" w:lineRule="exact"/>
              <w:ind w:firstLine="640" w:firstLineChars="200"/>
              <w:jc w:val="both"/>
              <w:rPr>
                <w:rFonts w:ascii="仿宋_GB2312" w:hAnsi="Times New Roman" w:eastAsia="仿宋_GB2312"/>
                <w:color w:val="000000"/>
                <w:kern w:val="2"/>
                <w:sz w:val="32"/>
                <w:szCs w:val="32"/>
              </w:rPr>
            </w:pPr>
          </w:p>
          <w:p>
            <w:pPr>
              <w:pStyle w:val="14"/>
              <w:spacing w:before="0" w:beforeAutospacing="0" w:after="0" w:afterAutospacing="0" w:line="560" w:lineRule="exact"/>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港口机械运用与维修</w:t>
            </w:r>
          </w:p>
        </w:tc>
      </w:tr>
    </w:tbl>
    <w:p>
      <w:pPr>
        <w:pStyle w:val="14"/>
        <w:spacing w:before="0" w:beforeAutospacing="0" w:after="0" w:afterAutospacing="0" w:line="560" w:lineRule="exact"/>
        <w:ind w:firstLine="640" w:firstLineChars="200"/>
        <w:jc w:val="both"/>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说明：可根据区域实际情况和专业（技能）方向取得 1 或 2 个证书。</w:t>
      </w:r>
    </w:p>
    <w:p>
      <w:pPr>
        <w:spacing w:line="360" w:lineRule="auto"/>
        <w:ind w:left="447"/>
        <w:jc w:val="left"/>
        <w:rPr>
          <w:rFonts w:asciiTheme="minorEastAsia" w:hAnsiTheme="minorEastAsia" w:eastAsiaTheme="minorEastAsia" w:cstheme="minorEastAsia"/>
          <w:color w:val="231F20"/>
          <w:sz w:val="28"/>
          <w:szCs w:val="28"/>
        </w:rPr>
      </w:pPr>
    </w:p>
    <w:p>
      <w:pPr>
        <w:pStyle w:val="2"/>
        <w:spacing w:after="0" w:line="360" w:lineRule="auto"/>
        <w:jc w:val="left"/>
        <w:rPr>
          <w:rFonts w:ascii="黑体" w:hAnsi="仿宋_GB2312" w:eastAsia="黑体" w:cs="仿宋_GB2312"/>
          <w:bCs w:val="0"/>
          <w:kern w:val="2"/>
          <w:sz w:val="32"/>
          <w:szCs w:val="32"/>
        </w:rPr>
      </w:pPr>
      <w:bookmarkStart w:id="9" w:name="_Toc209"/>
      <w:bookmarkStart w:id="10" w:name="_Toc9533_WPSOffice_Level1"/>
      <w:r>
        <w:rPr>
          <w:rFonts w:hint="eastAsia" w:ascii="黑体" w:hAnsi="仿宋_GB2312" w:eastAsia="黑体" w:cs="仿宋_GB2312"/>
          <w:bCs w:val="0"/>
          <w:kern w:val="2"/>
          <w:sz w:val="32"/>
          <w:szCs w:val="32"/>
        </w:rPr>
        <w:t>五、培养目标与人才培养规格</w:t>
      </w:r>
      <w:bookmarkEnd w:id="9"/>
      <w:bookmarkEnd w:id="10"/>
    </w:p>
    <w:p>
      <w:pPr>
        <w:pStyle w:val="3"/>
        <w:spacing w:line="360" w:lineRule="auto"/>
        <w:ind w:firstLine="643"/>
        <w:rPr>
          <w:rFonts w:ascii="楷体_GB2312" w:hAnsi="仿宋_GB2312" w:eastAsia="楷体_GB2312" w:cs="仿宋_GB2312"/>
          <w:b/>
          <w:bCs w:val="0"/>
          <w:sz w:val="32"/>
        </w:rPr>
      </w:pPr>
      <w:bookmarkStart w:id="11" w:name="_Toc31329_WPSOffice_Level2"/>
      <w:bookmarkStart w:id="12" w:name="_Toc6901"/>
      <w:r>
        <w:rPr>
          <w:rFonts w:hint="eastAsia" w:ascii="楷体_GB2312" w:hAnsi="仿宋_GB2312" w:eastAsia="楷体_GB2312" w:cs="仿宋_GB2312"/>
          <w:b/>
          <w:bCs w:val="0"/>
          <w:sz w:val="32"/>
        </w:rPr>
        <w:t>(一)培养目标</w:t>
      </w:r>
      <w:bookmarkEnd w:id="11"/>
      <w:bookmarkEnd w:id="12"/>
    </w:p>
    <w:p>
      <w:pPr>
        <w:pStyle w:val="14"/>
        <w:spacing w:before="0" w:beforeAutospacing="0" w:after="0" w:afterAutospacing="0" w:line="560" w:lineRule="exact"/>
        <w:ind w:firstLine="640" w:firstLineChars="200"/>
        <w:jc w:val="both"/>
        <w:rPr>
          <w:rFonts w:ascii="仿宋_GB2312" w:hAnsi="Times New Roman" w:eastAsia="仿宋_GB2312"/>
          <w:color w:val="000000"/>
          <w:kern w:val="2"/>
          <w:sz w:val="32"/>
          <w:szCs w:val="32"/>
        </w:rPr>
      </w:pPr>
      <w:bookmarkStart w:id="13" w:name="_Toc26914"/>
      <w:bookmarkStart w:id="14" w:name="_Toc22454_WPSOffice_Level2"/>
      <w:r>
        <w:rPr>
          <w:rFonts w:hint="eastAsia" w:ascii="仿宋_GB2312" w:hAnsi="Times New Roman" w:eastAsia="仿宋_GB2312"/>
          <w:color w:val="000000"/>
          <w:kern w:val="2"/>
          <w:sz w:val="32"/>
          <w:szCs w:val="32"/>
        </w:rPr>
        <w:t>面向钦北防港口码头生产服务管理一线企业，培养具有良好职业道德、创新精神和健康体魄，具有必备专业知识和扎实专业技能，能从事港口专用大型机械（包括门机、桥吊、场吊、传送带）的驾驶运用，能从事常见搬运、起重与施工（如叉车、装载机、挖掘机、汽车起重机）等机械的操作和维护保养、掌握内燃机及液压传动维修技能，具备金工基础和电工基础的技能型专门人才。</w:t>
      </w:r>
    </w:p>
    <w:p>
      <w:pPr>
        <w:pStyle w:val="14"/>
        <w:spacing w:before="0" w:beforeAutospacing="0" w:after="0" w:afterAutospacing="0" w:line="560" w:lineRule="exact"/>
        <w:ind w:firstLine="643" w:firstLineChars="200"/>
        <w:jc w:val="both"/>
        <w:outlineLvl w:val="1"/>
        <w:rPr>
          <w:rFonts w:ascii="楷体_GB2312" w:hAnsi="Times New Roman" w:eastAsia="楷体_GB2312"/>
          <w:b/>
          <w:color w:val="000000"/>
          <w:sz w:val="32"/>
          <w:szCs w:val="32"/>
        </w:rPr>
      </w:pPr>
      <w:r>
        <w:rPr>
          <w:rFonts w:hint="eastAsia" w:ascii="楷体_GB2312" w:hAnsi="Times New Roman" w:eastAsia="楷体_GB2312"/>
          <w:b/>
          <w:color w:val="000000"/>
          <w:sz w:val="32"/>
          <w:szCs w:val="32"/>
        </w:rPr>
        <w:t xml:space="preserve"> (二)培养规格</w:t>
      </w:r>
      <w:bookmarkEnd w:id="13"/>
      <w:bookmarkEnd w:id="14"/>
    </w:p>
    <w:p>
      <w:pPr>
        <w:pStyle w:val="6"/>
        <w:autoSpaceDE w:val="0"/>
        <w:autoSpaceDN w:val="0"/>
        <w:spacing w:line="360" w:lineRule="auto"/>
        <w:ind w:left="560"/>
        <w:rPr>
          <w:rFonts w:ascii="仿宋_GB2312" w:hAnsi="宋体" w:eastAsia="仿宋_GB2312" w:cs="Times New Roman"/>
          <w:kern w:val="0"/>
          <w:sz w:val="32"/>
          <w:szCs w:val="32"/>
          <w:lang w:val="en-US" w:bidi="ar-SA"/>
        </w:rPr>
      </w:pPr>
      <w:r>
        <w:rPr>
          <w:rFonts w:hint="eastAsia" w:ascii="仿宋_GB2312" w:hAnsi="宋体" w:eastAsia="仿宋_GB2312" w:cs="Times New Roman"/>
          <w:kern w:val="0"/>
          <w:sz w:val="32"/>
          <w:szCs w:val="32"/>
          <w:lang w:val="en-US" w:bidi="ar-SA"/>
        </w:rPr>
        <w:t>本专业毕业生应具有以下职业素养、专业知识和技能：</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1.职业素养</w:t>
      </w:r>
    </w:p>
    <w:p>
      <w:pPr>
        <w:pStyle w:val="30"/>
        <w:tabs>
          <w:tab w:val="left" w:pos="835"/>
        </w:tabs>
        <w:autoSpaceDE w:val="0"/>
        <w:autoSpaceDN w:val="0"/>
        <w:spacing w:before="0" w:line="360" w:lineRule="auto"/>
        <w:ind w:left="559" w:firstLine="0"/>
        <w:rPr>
          <w:rFonts w:ascii="仿宋_GB2312" w:hAnsi="Times New Roman" w:eastAsia="仿宋_GB2312" w:cs="Times New Roman"/>
          <w:color w:val="000000"/>
          <w:sz w:val="32"/>
          <w:szCs w:val="32"/>
          <w:lang w:val="en-US" w:bidi="ar-SA"/>
        </w:rPr>
      </w:pP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1</w:t>
      </w: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具有良好的职业道德，能自觉遵守行业法规、规范和企业规章制度。</w:t>
      </w:r>
    </w:p>
    <w:p>
      <w:pPr>
        <w:pStyle w:val="30"/>
        <w:tabs>
          <w:tab w:val="left" w:pos="835"/>
        </w:tabs>
        <w:autoSpaceDE w:val="0"/>
        <w:autoSpaceDN w:val="0"/>
        <w:spacing w:before="0" w:line="360" w:lineRule="auto"/>
        <w:ind w:left="559" w:firstLine="0"/>
        <w:rPr>
          <w:rFonts w:ascii="仿宋_GB2312" w:hAnsi="Times New Roman" w:eastAsia="仿宋_GB2312" w:cs="Times New Roman"/>
          <w:color w:val="000000"/>
          <w:sz w:val="32"/>
          <w:szCs w:val="32"/>
          <w:lang w:val="en-US" w:bidi="ar-SA"/>
        </w:rPr>
      </w:pP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2</w:t>
      </w: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具有良好的工作态度、工作作风、表达能力和应变能力。</w:t>
      </w:r>
    </w:p>
    <w:p>
      <w:pPr>
        <w:pStyle w:val="30"/>
        <w:tabs>
          <w:tab w:val="left" w:pos="835"/>
        </w:tabs>
        <w:autoSpaceDE w:val="0"/>
        <w:autoSpaceDN w:val="0"/>
        <w:spacing w:before="0" w:line="360" w:lineRule="auto"/>
        <w:ind w:left="559" w:firstLine="0"/>
        <w:rPr>
          <w:rFonts w:ascii="仿宋_GB2312" w:hAnsi="Times New Roman" w:eastAsia="仿宋_GB2312" w:cs="Times New Roman"/>
          <w:color w:val="000000"/>
          <w:sz w:val="32"/>
          <w:szCs w:val="32"/>
          <w:lang w:val="en-US" w:bidi="ar-SA"/>
        </w:rPr>
      </w:pP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3</w:t>
      </w: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具备良好的人际交往能力、团队合作精神。</w:t>
      </w:r>
    </w:p>
    <w:p>
      <w:pPr>
        <w:pStyle w:val="30"/>
        <w:tabs>
          <w:tab w:val="left" w:pos="835"/>
        </w:tabs>
        <w:autoSpaceDE w:val="0"/>
        <w:autoSpaceDN w:val="0"/>
        <w:spacing w:before="0" w:line="360" w:lineRule="auto"/>
        <w:ind w:left="559" w:firstLine="0"/>
        <w:rPr>
          <w:rFonts w:ascii="仿宋_GB2312" w:hAnsi="Times New Roman" w:eastAsia="仿宋_GB2312" w:cs="Times New Roman"/>
          <w:color w:val="000000"/>
          <w:sz w:val="32"/>
          <w:szCs w:val="32"/>
          <w:lang w:val="en-US" w:bidi="ar-SA"/>
        </w:rPr>
      </w:pP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4</w:t>
      </w: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具备安全第一，规范操作的意识。</w:t>
      </w:r>
    </w:p>
    <w:p>
      <w:pPr>
        <w:pStyle w:val="30"/>
        <w:tabs>
          <w:tab w:val="left" w:pos="835"/>
        </w:tabs>
        <w:autoSpaceDE w:val="0"/>
        <w:autoSpaceDN w:val="0"/>
        <w:spacing w:before="0" w:line="360" w:lineRule="auto"/>
        <w:ind w:left="559" w:firstLine="0"/>
        <w:rPr>
          <w:rFonts w:ascii="仿宋_GB2312" w:hAnsi="Times New Roman" w:eastAsia="仿宋_GB2312" w:cs="Times New Roman"/>
          <w:color w:val="000000"/>
          <w:sz w:val="32"/>
          <w:szCs w:val="32"/>
          <w:lang w:val="en-US" w:bidi="ar-SA"/>
        </w:rPr>
      </w:pP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5</w:t>
      </w: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具有健康的心理和体魄，树立职业竞争和创新意识。</w:t>
      </w:r>
    </w:p>
    <w:p>
      <w:pPr>
        <w:pStyle w:val="30"/>
        <w:tabs>
          <w:tab w:val="left" w:pos="835"/>
        </w:tabs>
        <w:autoSpaceDE w:val="0"/>
        <w:autoSpaceDN w:val="0"/>
        <w:spacing w:before="0" w:line="360" w:lineRule="auto"/>
        <w:ind w:left="559" w:firstLine="0"/>
        <w:rPr>
          <w:rFonts w:ascii="仿宋_GB2312" w:hAnsi="Times New Roman" w:eastAsia="仿宋_GB2312" w:cs="Times New Roman"/>
          <w:color w:val="000000"/>
          <w:sz w:val="32"/>
          <w:szCs w:val="32"/>
          <w:lang w:val="en-US" w:bidi="ar-SA"/>
        </w:rPr>
      </w:pP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6</w:t>
      </w: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具备良好学习新知识的能力。</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2.专业知识和技能</w:t>
      </w:r>
    </w:p>
    <w:p>
      <w:pPr>
        <w:pStyle w:val="30"/>
        <w:tabs>
          <w:tab w:val="left" w:pos="835"/>
        </w:tabs>
        <w:autoSpaceDE w:val="0"/>
        <w:autoSpaceDN w:val="0"/>
        <w:spacing w:before="0" w:line="360" w:lineRule="auto"/>
        <w:ind w:left="559" w:firstLine="0"/>
        <w:rPr>
          <w:rFonts w:ascii="仿宋_GB2312" w:hAnsi="Times New Roman" w:eastAsia="仿宋_GB2312" w:cs="Times New Roman"/>
          <w:color w:val="000000"/>
          <w:sz w:val="32"/>
          <w:szCs w:val="32"/>
          <w:lang w:val="en-US" w:bidi="ar-SA"/>
        </w:rPr>
      </w:pP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1</w:t>
      </w: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掌握本专业所必需的电工、柴油发动机、机械基础、液压等基本理论知识。</w:t>
      </w:r>
    </w:p>
    <w:p>
      <w:pPr>
        <w:pStyle w:val="30"/>
        <w:tabs>
          <w:tab w:val="left" w:pos="835"/>
        </w:tabs>
        <w:autoSpaceDE w:val="0"/>
        <w:autoSpaceDN w:val="0"/>
        <w:spacing w:before="0" w:line="360" w:lineRule="auto"/>
        <w:ind w:left="559" w:firstLine="0"/>
        <w:rPr>
          <w:rFonts w:ascii="仿宋_GB2312" w:hAnsi="Times New Roman" w:eastAsia="仿宋_GB2312" w:cs="Times New Roman"/>
          <w:color w:val="000000"/>
          <w:sz w:val="32"/>
          <w:szCs w:val="32"/>
          <w:lang w:val="en-US" w:bidi="ar-SA"/>
        </w:rPr>
      </w:pP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2</w:t>
      </w: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掌握常用液压元器件性能及功能的基本知识，并能合理选用和装配。</w:t>
      </w:r>
    </w:p>
    <w:p>
      <w:pPr>
        <w:pStyle w:val="30"/>
        <w:tabs>
          <w:tab w:val="left" w:pos="835"/>
        </w:tabs>
        <w:autoSpaceDE w:val="0"/>
        <w:autoSpaceDN w:val="0"/>
        <w:spacing w:before="0" w:line="360" w:lineRule="auto"/>
        <w:ind w:left="559" w:firstLine="0"/>
        <w:rPr>
          <w:rFonts w:ascii="仿宋_GB2312" w:hAnsi="Times New Roman" w:eastAsia="仿宋_GB2312" w:cs="Times New Roman"/>
          <w:color w:val="000000"/>
          <w:sz w:val="32"/>
          <w:szCs w:val="32"/>
          <w:lang w:val="en-US" w:bidi="ar-SA"/>
        </w:rPr>
      </w:pP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3</w:t>
      </w: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能够正确使用常用工具拆装发动机。</w:t>
      </w:r>
    </w:p>
    <w:p>
      <w:pPr>
        <w:pStyle w:val="30"/>
        <w:tabs>
          <w:tab w:val="left" w:pos="835"/>
        </w:tabs>
        <w:autoSpaceDE w:val="0"/>
        <w:autoSpaceDN w:val="0"/>
        <w:spacing w:before="0" w:line="360" w:lineRule="auto"/>
        <w:ind w:left="559" w:firstLine="0"/>
        <w:rPr>
          <w:rFonts w:ascii="仿宋_GB2312" w:hAnsi="Times New Roman" w:eastAsia="仿宋_GB2312" w:cs="Times New Roman"/>
          <w:color w:val="000000"/>
          <w:sz w:val="32"/>
          <w:szCs w:val="32"/>
          <w:lang w:val="en-US" w:bidi="ar-SA"/>
        </w:rPr>
      </w:pP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4</w:t>
      </w: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掌握叉车、挖掘机、装载机等港口机械的基本结构、工作原理，能进行日常维护保养工作。</w:t>
      </w:r>
    </w:p>
    <w:p>
      <w:pPr>
        <w:pStyle w:val="30"/>
        <w:tabs>
          <w:tab w:val="left" w:pos="835"/>
        </w:tabs>
        <w:autoSpaceDE w:val="0"/>
        <w:autoSpaceDN w:val="0"/>
        <w:spacing w:before="0" w:line="360" w:lineRule="auto"/>
        <w:ind w:left="559" w:firstLine="0"/>
        <w:rPr>
          <w:rFonts w:ascii="仿宋_GB2312" w:hAnsi="Times New Roman" w:eastAsia="仿宋_GB2312" w:cs="Times New Roman"/>
          <w:color w:val="000000"/>
          <w:sz w:val="32"/>
          <w:szCs w:val="32"/>
          <w:lang w:val="en-US" w:bidi="ar-SA"/>
        </w:rPr>
      </w:pP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5</w:t>
      </w:r>
      <w:r>
        <w:rPr>
          <w:rFonts w:hint="eastAsia" w:ascii="仿宋_GB2312" w:hAnsi="Times New Roman" w:eastAsia="仿宋_GB2312" w:cs="Times New Roman"/>
          <w:color w:val="000000"/>
          <w:sz w:val="32"/>
          <w:szCs w:val="32"/>
          <w:lang w:val="en-US" w:eastAsia="zh-CN" w:bidi="ar-SA"/>
        </w:rPr>
        <w:t>）</w:t>
      </w:r>
      <w:r>
        <w:rPr>
          <w:rFonts w:hint="eastAsia" w:ascii="仿宋_GB2312" w:hAnsi="Times New Roman" w:eastAsia="仿宋_GB2312" w:cs="Times New Roman"/>
          <w:color w:val="000000"/>
          <w:sz w:val="32"/>
          <w:szCs w:val="32"/>
          <w:lang w:val="en-US" w:bidi="ar-SA"/>
        </w:rPr>
        <w:t>掌握叉车、挖掘机、装载机等较扎实的驾驶作业基本功，能熟练进行港口机械驾驶作业。</w:t>
      </w:r>
    </w:p>
    <w:p>
      <w:pPr>
        <w:pStyle w:val="30"/>
        <w:tabs>
          <w:tab w:val="left" w:pos="835"/>
        </w:tabs>
        <w:autoSpaceDE w:val="0"/>
        <w:autoSpaceDN w:val="0"/>
        <w:spacing w:before="0" w:line="360" w:lineRule="auto"/>
        <w:ind w:left="559" w:firstLine="0"/>
        <w:rPr>
          <w:rFonts w:ascii="仿宋_GB2312" w:hAnsi="Times New Roman" w:eastAsia="仿宋_GB2312" w:cs="Times New Roman"/>
          <w:sz w:val="32"/>
          <w:szCs w:val="32"/>
          <w:lang w:val="en-US" w:bidi="ar-SA"/>
        </w:rPr>
      </w:pPr>
      <w:r>
        <w:rPr>
          <w:rFonts w:hint="eastAsia" w:ascii="仿宋_GB2312" w:hAnsi="Times New Roman" w:eastAsia="仿宋_GB2312" w:cs="Times New Roman"/>
          <w:sz w:val="32"/>
          <w:szCs w:val="32"/>
          <w:lang w:val="en-US" w:eastAsia="zh-CN" w:bidi="ar-SA"/>
        </w:rPr>
        <w:t>（</w:t>
      </w:r>
      <w:r>
        <w:rPr>
          <w:rFonts w:hint="eastAsia" w:ascii="仿宋_GB2312" w:hAnsi="Times New Roman" w:eastAsia="仿宋_GB2312" w:cs="Times New Roman"/>
          <w:sz w:val="32"/>
          <w:szCs w:val="32"/>
          <w:lang w:val="en-US" w:bidi="ar-SA"/>
        </w:rPr>
        <w:t>6</w:t>
      </w:r>
      <w:r>
        <w:rPr>
          <w:rFonts w:hint="eastAsia" w:ascii="仿宋_GB2312" w:hAnsi="Times New Roman" w:eastAsia="仿宋_GB2312" w:cs="Times New Roman"/>
          <w:sz w:val="32"/>
          <w:szCs w:val="32"/>
          <w:lang w:val="en-US" w:eastAsia="zh-CN" w:bidi="ar-SA"/>
        </w:rPr>
        <w:t>）</w:t>
      </w:r>
      <w:r>
        <w:rPr>
          <w:rFonts w:hint="eastAsia" w:ascii="仿宋_GB2312" w:hAnsi="Times New Roman" w:eastAsia="仿宋_GB2312" w:cs="Times New Roman"/>
          <w:sz w:val="32"/>
          <w:szCs w:val="32"/>
          <w:lang w:val="en-US" w:bidi="ar-SA"/>
        </w:rPr>
        <w:t>具有港口机械的相关资料及其说明书，具有按说明书操作、维护机械的能力。</w:t>
      </w:r>
    </w:p>
    <w:p>
      <w:pPr>
        <w:pStyle w:val="30"/>
        <w:tabs>
          <w:tab w:val="left" w:pos="835"/>
        </w:tabs>
        <w:autoSpaceDE w:val="0"/>
        <w:autoSpaceDN w:val="0"/>
        <w:spacing w:before="0" w:line="360" w:lineRule="auto"/>
        <w:ind w:left="559" w:firstLine="0"/>
        <w:rPr>
          <w:rFonts w:ascii="仿宋_GB2312" w:hAnsi="Times New Roman" w:eastAsia="仿宋_GB2312" w:cs="Times New Roman"/>
          <w:sz w:val="32"/>
          <w:szCs w:val="32"/>
          <w:lang w:val="en-US" w:bidi="ar-SA"/>
        </w:rPr>
      </w:pPr>
      <w:r>
        <w:rPr>
          <w:rFonts w:hint="eastAsia" w:ascii="仿宋_GB2312" w:hAnsi="Times New Roman" w:eastAsia="仿宋_GB2312" w:cs="Times New Roman"/>
          <w:sz w:val="32"/>
          <w:szCs w:val="32"/>
          <w:lang w:val="en-US" w:eastAsia="zh-CN" w:bidi="ar-SA"/>
        </w:rPr>
        <w:t>（</w:t>
      </w:r>
      <w:r>
        <w:rPr>
          <w:rFonts w:hint="eastAsia" w:ascii="仿宋_GB2312" w:hAnsi="Times New Roman" w:eastAsia="仿宋_GB2312" w:cs="Times New Roman"/>
          <w:sz w:val="32"/>
          <w:szCs w:val="32"/>
          <w:lang w:val="en-US" w:bidi="ar-SA"/>
        </w:rPr>
        <w:t>7</w:t>
      </w:r>
      <w:r>
        <w:rPr>
          <w:rFonts w:hint="eastAsia" w:ascii="仿宋_GB2312" w:hAnsi="Times New Roman" w:eastAsia="仿宋_GB2312" w:cs="Times New Roman"/>
          <w:sz w:val="32"/>
          <w:szCs w:val="32"/>
          <w:lang w:val="en-US" w:eastAsia="zh-CN" w:bidi="ar-SA"/>
        </w:rPr>
        <w:t>）</w:t>
      </w:r>
      <w:r>
        <w:rPr>
          <w:rFonts w:hint="eastAsia" w:ascii="仿宋_GB2312" w:hAnsi="Times New Roman" w:eastAsia="仿宋_GB2312" w:cs="Times New Roman"/>
          <w:sz w:val="32"/>
          <w:szCs w:val="32"/>
          <w:lang w:val="en-US" w:bidi="ar-SA"/>
        </w:rPr>
        <w:t>具有初步运用计算机处理工作领域内的信息和技术交流能力。</w:t>
      </w:r>
    </w:p>
    <w:p>
      <w:pPr>
        <w:pStyle w:val="30"/>
        <w:tabs>
          <w:tab w:val="left" w:pos="835"/>
        </w:tabs>
        <w:autoSpaceDE w:val="0"/>
        <w:autoSpaceDN w:val="0"/>
        <w:spacing w:before="0" w:line="360" w:lineRule="auto"/>
        <w:ind w:left="559" w:firstLine="0"/>
        <w:rPr>
          <w:rFonts w:ascii="仿宋_GB2312" w:hAnsi="Times New Roman" w:eastAsia="仿宋_GB2312" w:cs="Times New Roman"/>
          <w:sz w:val="32"/>
          <w:szCs w:val="32"/>
          <w:lang w:val="en-US" w:bidi="ar-SA"/>
        </w:rPr>
      </w:pPr>
      <w:r>
        <w:rPr>
          <w:rFonts w:hint="eastAsia" w:ascii="仿宋_GB2312" w:hAnsi="Times New Roman" w:eastAsia="仿宋_GB2312" w:cs="Times New Roman"/>
          <w:sz w:val="32"/>
          <w:szCs w:val="32"/>
          <w:lang w:val="en-US" w:eastAsia="zh-CN" w:bidi="ar-SA"/>
        </w:rPr>
        <w:t>（</w:t>
      </w:r>
      <w:r>
        <w:rPr>
          <w:rFonts w:hint="eastAsia" w:ascii="仿宋_GB2312" w:hAnsi="Times New Roman" w:eastAsia="仿宋_GB2312" w:cs="Times New Roman"/>
          <w:sz w:val="32"/>
          <w:szCs w:val="32"/>
          <w:lang w:val="en-US" w:bidi="ar-SA"/>
        </w:rPr>
        <w:t>8</w:t>
      </w:r>
      <w:r>
        <w:rPr>
          <w:rFonts w:hint="eastAsia" w:ascii="仿宋_GB2312" w:hAnsi="Times New Roman" w:eastAsia="仿宋_GB2312" w:cs="Times New Roman"/>
          <w:sz w:val="32"/>
          <w:szCs w:val="32"/>
          <w:lang w:val="en-US" w:eastAsia="zh-CN" w:bidi="ar-SA"/>
        </w:rPr>
        <w:t>）</w:t>
      </w:r>
      <w:r>
        <w:rPr>
          <w:rFonts w:hint="eastAsia" w:ascii="仿宋_GB2312" w:hAnsi="Times New Roman" w:eastAsia="仿宋_GB2312" w:cs="Times New Roman"/>
          <w:sz w:val="32"/>
          <w:szCs w:val="32"/>
          <w:lang w:val="en-US" w:bidi="ar-SA"/>
        </w:rPr>
        <w:t>能进行港口机械的营销和售后服务工作。</w:t>
      </w:r>
    </w:p>
    <w:p>
      <w:pPr>
        <w:pStyle w:val="30"/>
        <w:tabs>
          <w:tab w:val="left" w:pos="835"/>
        </w:tabs>
        <w:autoSpaceDE w:val="0"/>
        <w:autoSpaceDN w:val="0"/>
        <w:spacing w:before="0" w:line="360" w:lineRule="auto"/>
        <w:ind w:left="559" w:firstLine="0"/>
        <w:rPr>
          <w:rFonts w:ascii="仿宋_GB2312" w:hAnsi="Times New Roman" w:eastAsia="仿宋_GB2312" w:cs="Times New Roman"/>
          <w:sz w:val="32"/>
          <w:szCs w:val="32"/>
          <w:lang w:val="en-US" w:bidi="ar-SA"/>
        </w:rPr>
      </w:pPr>
      <w:r>
        <w:rPr>
          <w:rFonts w:hint="eastAsia" w:ascii="仿宋_GB2312" w:hAnsi="Times New Roman" w:eastAsia="仿宋_GB2312" w:cs="Times New Roman"/>
          <w:sz w:val="32"/>
          <w:szCs w:val="32"/>
          <w:lang w:val="en-US" w:eastAsia="zh-CN" w:bidi="ar-SA"/>
        </w:rPr>
        <w:t>（</w:t>
      </w:r>
      <w:r>
        <w:rPr>
          <w:rFonts w:hint="eastAsia" w:ascii="仿宋_GB2312" w:hAnsi="Times New Roman" w:eastAsia="仿宋_GB2312" w:cs="Times New Roman"/>
          <w:sz w:val="32"/>
          <w:szCs w:val="32"/>
          <w:lang w:val="en-US" w:bidi="ar-SA"/>
        </w:rPr>
        <w:t>9</w:t>
      </w:r>
      <w:r>
        <w:rPr>
          <w:rFonts w:hint="eastAsia" w:ascii="仿宋_GB2312" w:hAnsi="Times New Roman" w:eastAsia="仿宋_GB2312" w:cs="Times New Roman"/>
          <w:sz w:val="32"/>
          <w:szCs w:val="32"/>
          <w:lang w:val="en-US" w:eastAsia="zh-CN" w:bidi="ar-SA"/>
        </w:rPr>
        <w:t>）</w:t>
      </w:r>
      <w:r>
        <w:rPr>
          <w:rFonts w:hint="eastAsia" w:ascii="仿宋_GB2312" w:hAnsi="Times New Roman" w:eastAsia="仿宋_GB2312" w:cs="Times New Roman"/>
          <w:sz w:val="32"/>
          <w:szCs w:val="32"/>
          <w:lang w:val="en-US" w:bidi="ar-SA"/>
        </w:rPr>
        <w:t>取得相应的职业资格证书或技术等级证书，并达到相应的技能水平。</w:t>
      </w:r>
    </w:p>
    <w:p>
      <w:pPr>
        <w:pStyle w:val="2"/>
        <w:spacing w:after="0" w:line="360" w:lineRule="auto"/>
        <w:jc w:val="left"/>
        <w:rPr>
          <w:rFonts w:ascii="黑体" w:hAnsi="仿宋_GB2312" w:eastAsia="黑体" w:cs="仿宋_GB2312"/>
          <w:bCs w:val="0"/>
          <w:kern w:val="2"/>
          <w:sz w:val="32"/>
          <w:szCs w:val="32"/>
        </w:rPr>
      </w:pPr>
      <w:bookmarkStart w:id="15" w:name="_Toc508097558"/>
      <w:bookmarkStart w:id="16" w:name="_Toc27600"/>
      <w:bookmarkStart w:id="17" w:name="_Toc1600"/>
      <w:r>
        <w:rPr>
          <w:rFonts w:hint="eastAsia" w:ascii="黑体" w:hAnsi="仿宋_GB2312" w:eastAsia="黑体" w:cs="仿宋_GB2312"/>
          <w:bCs w:val="0"/>
          <w:kern w:val="2"/>
          <w:sz w:val="32"/>
          <w:szCs w:val="32"/>
        </w:rPr>
        <w:t>六、</w:t>
      </w:r>
      <w:bookmarkEnd w:id="15"/>
      <w:bookmarkEnd w:id="16"/>
      <w:r>
        <w:rPr>
          <w:rFonts w:hint="eastAsia" w:ascii="黑体" w:hAnsi="仿宋_GB2312" w:eastAsia="黑体" w:cs="仿宋_GB2312"/>
          <w:bCs w:val="0"/>
          <w:kern w:val="2"/>
          <w:sz w:val="32"/>
          <w:szCs w:val="32"/>
        </w:rPr>
        <w:t>课程设置及要求</w:t>
      </w:r>
      <w:bookmarkEnd w:id="17"/>
    </w:p>
    <w:p>
      <w:pPr>
        <w:pStyle w:val="30"/>
        <w:tabs>
          <w:tab w:val="left" w:pos="835"/>
        </w:tabs>
        <w:autoSpaceDE w:val="0"/>
        <w:autoSpaceDN w:val="0"/>
        <w:spacing w:before="0" w:line="360" w:lineRule="auto"/>
        <w:ind w:left="559" w:firstLine="0"/>
        <w:rPr>
          <w:rFonts w:ascii="仿宋_GB2312" w:hAnsi="Times New Roman" w:eastAsia="仿宋_GB2312" w:cs="Times New Roman"/>
          <w:sz w:val="32"/>
          <w:szCs w:val="32"/>
          <w:lang w:val="en-US" w:bidi="ar-SA"/>
        </w:rPr>
      </w:pPr>
      <w:r>
        <w:rPr>
          <w:rFonts w:hint="eastAsia" w:ascii="仿宋_GB2312" w:hAnsi="Times New Roman" w:eastAsia="仿宋_GB2312" w:cs="Times New Roman"/>
          <w:sz w:val="32"/>
          <w:szCs w:val="32"/>
          <w:lang w:val="en-US" w:bidi="ar-SA"/>
        </w:rPr>
        <w:t>本专业课程设置分为公共基础课和专业技能课。</w:t>
      </w:r>
    </w:p>
    <w:p>
      <w:pPr>
        <w:pStyle w:val="30"/>
        <w:spacing w:before="0" w:line="560" w:lineRule="exact"/>
        <w:ind w:left="0" w:firstLine="640" w:firstLineChars="200"/>
        <w:rPr>
          <w:rFonts w:ascii="仿宋_GB2312" w:hAnsi="Times New Roman" w:eastAsia="仿宋_GB2312" w:cs="Times New Roman"/>
          <w:sz w:val="32"/>
          <w:szCs w:val="32"/>
          <w:lang w:val="en-US" w:bidi="ar-SA"/>
        </w:rPr>
      </w:pPr>
      <w:r>
        <w:rPr>
          <w:rFonts w:hint="eastAsia" w:ascii="仿宋_GB2312" w:hAnsi="Times New Roman" w:eastAsia="仿宋_GB2312" w:cs="Times New Roman"/>
          <w:sz w:val="32"/>
          <w:szCs w:val="32"/>
          <w:lang w:val="en-US" w:bidi="ar-SA"/>
        </w:rPr>
        <w:t>公共基础课包括德育课、文化课、体育与健康、音乐、历史等基础课。专业技能课包括专业基础课、课专业核心课，实习实训是专业技能课教学的重要内容，含校内外实训、顶岗实习等多种形式。</w:t>
      </w:r>
    </w:p>
    <w:p>
      <w:pPr>
        <w:pStyle w:val="3"/>
        <w:numPr>
          <w:ilvl w:val="0"/>
          <w:numId w:val="1"/>
        </w:numPr>
        <w:spacing w:line="360" w:lineRule="auto"/>
        <w:ind w:firstLineChars="0"/>
        <w:rPr>
          <w:rFonts w:ascii="楷体_GB2312" w:hAnsi="Calibri" w:eastAsia="楷体_GB2312"/>
          <w:b/>
          <w:bCs w:val="0"/>
          <w:sz w:val="32"/>
        </w:rPr>
      </w:pPr>
      <w:bookmarkStart w:id="18" w:name="_Toc10942_WPSOffice_Level2"/>
      <w:bookmarkStart w:id="19" w:name="_Toc16292"/>
      <w:r>
        <w:rPr>
          <w:rFonts w:hint="eastAsia" w:ascii="楷体_GB2312" w:hAnsi="Calibri" w:eastAsia="楷体_GB2312"/>
          <w:b/>
          <w:bCs w:val="0"/>
          <w:sz w:val="32"/>
        </w:rPr>
        <w:t>公共基础课</w:t>
      </w:r>
      <w:bookmarkEnd w:id="18"/>
      <w:r>
        <w:rPr>
          <w:rFonts w:hint="eastAsia" w:ascii="楷体_GB2312" w:hAnsi="Calibri" w:eastAsia="楷体_GB2312"/>
          <w:b/>
          <w:bCs w:val="0"/>
          <w:sz w:val="32"/>
        </w:rPr>
        <w:t>程</w:t>
      </w:r>
      <w:bookmarkEnd w:id="19"/>
    </w:p>
    <w:tbl>
      <w:tblPr>
        <w:tblStyle w:val="15"/>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840"/>
        <w:gridCol w:w="4923"/>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18" w:type="dxa"/>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序号</w:t>
            </w:r>
          </w:p>
        </w:tc>
        <w:tc>
          <w:tcPr>
            <w:tcW w:w="1840" w:type="dxa"/>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课程名称</w:t>
            </w:r>
          </w:p>
        </w:tc>
        <w:tc>
          <w:tcPr>
            <w:tcW w:w="4923" w:type="dxa"/>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课程目标、主要教学内容和要求</w:t>
            </w:r>
          </w:p>
        </w:tc>
        <w:tc>
          <w:tcPr>
            <w:tcW w:w="1136" w:type="dxa"/>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参考学时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中国特色社会主义</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依据《中等职业学校思想政治课程标准》开设，并与专业实际行业发展密切结合</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2</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心理健康与职业生涯</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依据《中等职业学校思想政治课程标准》开设，并与专业实际行业发展密切结合</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3</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职业道德与法治</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依据《中等职业学校思想政治课程标准》开设，并与专业实际行业发展密切结合</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4</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哲学与人生</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依据《中等职业学校思想政治课程标准》开设，并与专业实际行业发展密切结合</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5</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语文</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依据《中等职业学校语文教学大纲》开设，并注重在职业模块的教学内容中体现专业特色</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6</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数学</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依据《中等职业学校数学教学大纲》开设，并注重在职业模块的教学内容中体现专业特色</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7</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英语</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依据《中等职业学校英语教学大纲》开设，并注重在职业模块的教学内容中体现专业特色</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8</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信息技术</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依据《中等职业学校信息技术大纲》开设，并注重在职业模块的教学内容中体现专业特色</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9</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体育与健康</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依据《中等职业学校体育与健康教学指导纲要》开设，并与专业实际和行业发展密切结合</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10</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公共艺术</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依据《中等职业学校公共艺术教学大纲》开设，并与专业实际和行业发展密切结合</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11</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历史</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依据《中等职业学校历史教学大纲》开设，并与专业实际和行业发展密切结合</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12</w:t>
            </w:r>
          </w:p>
        </w:tc>
        <w:tc>
          <w:tcPr>
            <w:tcW w:w="184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劳动教育</w:t>
            </w:r>
          </w:p>
        </w:tc>
        <w:tc>
          <w:tcPr>
            <w:tcW w:w="4923" w:type="dxa"/>
            <w:vAlign w:val="center"/>
          </w:tcPr>
          <w:p>
            <w:pPr>
              <w:pStyle w:val="14"/>
              <w:spacing w:beforeLines="20" w:beforeAutospacing="0" w:afterLines="20" w:afterAutospacing="0" w:line="560" w:lineRule="exact"/>
              <w:rPr>
                <w:rFonts w:ascii="仿宋_GB2312" w:hAnsi="Calibri" w:eastAsia="仿宋_GB2312"/>
                <w:kern w:val="2"/>
                <w:sz w:val="32"/>
                <w:szCs w:val="32"/>
              </w:rPr>
            </w:pPr>
            <w:r>
              <w:rPr>
                <w:rFonts w:hint="eastAsia" w:ascii="仿宋_GB2312" w:hAnsi="Calibri" w:eastAsia="仿宋_GB2312"/>
                <w:kern w:val="2"/>
                <w:sz w:val="32"/>
                <w:szCs w:val="32"/>
              </w:rPr>
              <w:t>依据《中等职业学校劳动教育教学大纲》开设，并与专业实际和行业发展密切结合</w:t>
            </w:r>
          </w:p>
        </w:tc>
        <w:tc>
          <w:tcPr>
            <w:tcW w:w="1136"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18</w:t>
            </w:r>
          </w:p>
        </w:tc>
      </w:tr>
    </w:tbl>
    <w:p>
      <w:pPr>
        <w:pStyle w:val="14"/>
        <w:spacing w:beforeLines="20" w:beforeAutospacing="0" w:afterLines="20" w:afterAutospacing="0" w:line="480" w:lineRule="exact"/>
        <w:rPr>
          <w:rFonts w:ascii="楷体_GB2312" w:eastAsia="楷体_GB2312" w:cs="宋体"/>
          <w:b/>
          <w:sz w:val="32"/>
          <w:szCs w:val="32"/>
        </w:rPr>
      </w:pPr>
    </w:p>
    <w:p>
      <w:pPr>
        <w:pStyle w:val="14"/>
        <w:numPr>
          <w:ilvl w:val="0"/>
          <w:numId w:val="1"/>
        </w:numPr>
        <w:spacing w:beforeLines="20" w:beforeAutospacing="0" w:afterLines="20" w:afterAutospacing="0" w:line="480" w:lineRule="exact"/>
        <w:rPr>
          <w:rFonts w:ascii="楷体_GB2312" w:eastAsia="楷体_GB2312" w:cs="宋体"/>
          <w:b/>
          <w:sz w:val="32"/>
          <w:szCs w:val="32"/>
        </w:rPr>
      </w:pPr>
      <w:r>
        <w:rPr>
          <w:rFonts w:hint="eastAsia" w:ascii="楷体_GB2312" w:eastAsia="楷体_GB2312" w:cs="宋体"/>
          <w:b/>
          <w:sz w:val="32"/>
          <w:szCs w:val="32"/>
        </w:rPr>
        <w:t>专业（技能）课程</w:t>
      </w:r>
    </w:p>
    <w:p>
      <w:pPr>
        <w:pStyle w:val="14"/>
        <w:spacing w:beforeLines="20" w:beforeAutospacing="0" w:afterLines="20" w:afterAutospacing="0" w:line="480" w:lineRule="exact"/>
        <w:ind w:left="643"/>
        <w:rPr>
          <w:rFonts w:hint="eastAsia" w:ascii="仿宋" w:hAnsi="仿宋" w:eastAsia="仿宋" w:cs="仿宋"/>
          <w:b w:val="0"/>
          <w:bCs/>
          <w:sz w:val="32"/>
          <w:szCs w:val="32"/>
        </w:rPr>
      </w:pPr>
      <w:r>
        <w:rPr>
          <w:rFonts w:hint="eastAsia" w:ascii="仿宋" w:hAnsi="仿宋" w:eastAsia="仿宋" w:cs="仿宋"/>
          <w:b w:val="0"/>
          <w:bCs/>
          <w:sz w:val="32"/>
          <w:szCs w:val="32"/>
        </w:rPr>
        <w:t>1.专业基础课</w:t>
      </w:r>
    </w:p>
    <w:tbl>
      <w:tblPr>
        <w:tblStyle w:val="15"/>
        <w:tblW w:w="9080" w:type="dxa"/>
        <w:jc w:val="center"/>
        <w:tblLayout w:type="fixed"/>
        <w:tblCellMar>
          <w:top w:w="0" w:type="dxa"/>
          <w:left w:w="0" w:type="dxa"/>
          <w:bottom w:w="0" w:type="dxa"/>
          <w:right w:w="0" w:type="dxa"/>
        </w:tblCellMar>
      </w:tblPr>
      <w:tblGrid>
        <w:gridCol w:w="568"/>
        <w:gridCol w:w="1102"/>
        <w:gridCol w:w="6300"/>
        <w:gridCol w:w="1110"/>
      </w:tblGrid>
      <w:tr>
        <w:tblPrEx>
          <w:tblCellMar>
            <w:top w:w="0" w:type="dxa"/>
            <w:left w:w="0" w:type="dxa"/>
            <w:bottom w:w="0" w:type="dxa"/>
            <w:right w:w="0" w:type="dxa"/>
          </w:tblCellMar>
        </w:tblPrEx>
        <w:trPr>
          <w:trHeight w:val="360" w:hRule="atLeast"/>
          <w:jc w:val="center"/>
        </w:trPr>
        <w:tc>
          <w:tcPr>
            <w:tcW w:w="56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序号</w:t>
            </w:r>
          </w:p>
        </w:tc>
        <w:tc>
          <w:tcPr>
            <w:tcW w:w="1102"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课程名称</w:t>
            </w:r>
          </w:p>
        </w:tc>
        <w:tc>
          <w:tcPr>
            <w:tcW w:w="63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课程目标、主要教学内容和要求</w:t>
            </w:r>
          </w:p>
          <w:p>
            <w:pPr>
              <w:pStyle w:val="14"/>
              <w:spacing w:beforeLines="20" w:beforeAutospacing="0" w:afterLines="20" w:afterAutospacing="0" w:line="560" w:lineRule="exact"/>
              <w:jc w:val="center"/>
              <w:rPr>
                <w:rFonts w:ascii="仿宋_GB2312" w:hAnsi="Calibri" w:eastAsia="仿宋_GB2312"/>
                <w:b/>
                <w:bCs/>
                <w:kern w:val="2"/>
                <w:sz w:val="32"/>
                <w:szCs w:val="32"/>
              </w:rPr>
            </w:pPr>
          </w:p>
        </w:tc>
        <w:tc>
          <w:tcPr>
            <w:tcW w:w="111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学时数</w:t>
            </w:r>
          </w:p>
        </w:tc>
      </w:tr>
      <w:tr>
        <w:tblPrEx>
          <w:tblCellMar>
            <w:top w:w="0" w:type="dxa"/>
            <w:left w:w="0" w:type="dxa"/>
            <w:bottom w:w="0" w:type="dxa"/>
            <w:right w:w="0" w:type="dxa"/>
          </w:tblCellMar>
        </w:tblPrEx>
        <w:trPr>
          <w:trHeight w:val="1171" w:hRule="atLeast"/>
          <w:jc w:val="center"/>
        </w:trPr>
        <w:tc>
          <w:tcPr>
            <w:tcW w:w="568"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1</w:t>
            </w:r>
          </w:p>
        </w:tc>
        <w:tc>
          <w:tcPr>
            <w:tcW w:w="1102" w:type="dxa"/>
            <w:tcBorders>
              <w:top w:val="nil"/>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电工电子技能</w:t>
            </w:r>
          </w:p>
        </w:tc>
        <w:tc>
          <w:tcPr>
            <w:tcW w:w="6300" w:type="dxa"/>
            <w:tcBorders>
              <w:top w:val="nil"/>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通过讲述的电工基础概念、操作、原理和技巧，使学生快速掌电工基础、数字电子技术基础。</w:t>
            </w:r>
          </w:p>
          <w:p>
            <w:pPr>
              <w:spacing w:line="360" w:lineRule="exact"/>
              <w:rPr>
                <w:rFonts w:ascii="仿宋_GB2312" w:eastAsia="仿宋_GB2312"/>
                <w:sz w:val="32"/>
                <w:szCs w:val="32"/>
              </w:rPr>
            </w:pPr>
            <w:r>
              <w:rPr>
                <w:rFonts w:hint="eastAsia" w:ascii="仿宋_GB2312" w:eastAsia="仿宋_GB2312"/>
                <w:sz w:val="32"/>
                <w:szCs w:val="32"/>
              </w:rPr>
              <w:t>（1)具备电学方面的基础知识；</w:t>
            </w:r>
          </w:p>
          <w:p>
            <w:pPr>
              <w:spacing w:line="360" w:lineRule="exact"/>
              <w:rPr>
                <w:rFonts w:ascii="仿宋_GB2312" w:eastAsia="仿宋_GB2312"/>
                <w:sz w:val="32"/>
                <w:szCs w:val="32"/>
              </w:rPr>
            </w:pPr>
            <w:r>
              <w:rPr>
                <w:rFonts w:hint="eastAsia" w:ascii="仿宋_GB2312" w:eastAsia="仿宋_GB2312"/>
                <w:sz w:val="32"/>
                <w:szCs w:val="32"/>
              </w:rPr>
              <w:t>（2)具备常用仪表的使用能力；</w:t>
            </w:r>
          </w:p>
          <w:p>
            <w:pPr>
              <w:spacing w:line="360" w:lineRule="exact"/>
              <w:rPr>
                <w:rFonts w:ascii="仿宋_GB2312" w:eastAsia="仿宋_GB2312"/>
                <w:sz w:val="32"/>
                <w:szCs w:val="32"/>
              </w:rPr>
            </w:pPr>
            <w:r>
              <w:rPr>
                <w:rFonts w:hint="eastAsia" w:ascii="仿宋_GB2312" w:eastAsia="仿宋_GB2312"/>
                <w:sz w:val="32"/>
                <w:szCs w:val="32"/>
              </w:rPr>
              <w:t>（3)具备一定的动手能力，可对简单线路故障进行排除。</w:t>
            </w:r>
          </w:p>
        </w:tc>
        <w:tc>
          <w:tcPr>
            <w:tcW w:w="1110" w:type="dxa"/>
            <w:tcBorders>
              <w:top w:val="nil"/>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108</w:t>
            </w:r>
          </w:p>
        </w:tc>
      </w:tr>
      <w:tr>
        <w:tblPrEx>
          <w:tblCellMar>
            <w:top w:w="0" w:type="dxa"/>
            <w:left w:w="0" w:type="dxa"/>
            <w:bottom w:w="0" w:type="dxa"/>
            <w:right w:w="0" w:type="dxa"/>
          </w:tblCellMar>
        </w:tblPrEx>
        <w:trPr>
          <w:trHeight w:val="793" w:hRule="atLeast"/>
          <w:jc w:val="center"/>
        </w:trPr>
        <w:tc>
          <w:tcPr>
            <w:tcW w:w="568"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2</w:t>
            </w:r>
          </w:p>
        </w:tc>
        <w:tc>
          <w:tcPr>
            <w:tcW w:w="1102" w:type="dxa"/>
            <w:tcBorders>
              <w:top w:val="nil"/>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机械 制图</w:t>
            </w:r>
          </w:p>
        </w:tc>
        <w:tc>
          <w:tcPr>
            <w:tcW w:w="6300" w:type="dxa"/>
            <w:tcBorders>
              <w:top w:val="nil"/>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通过讲授制图的基础知识，掌握投影基础，掌握组合体的分析绘图、识图及尺寸标注，掌握剖视图、断面图、标准件与常用件的绘制及识读，掌握零件图和装配图绘制及识读。</w:t>
            </w:r>
          </w:p>
          <w:p>
            <w:pPr>
              <w:spacing w:line="360" w:lineRule="exact"/>
              <w:rPr>
                <w:rFonts w:ascii="仿宋_GB2312" w:eastAsia="仿宋_GB2312"/>
                <w:sz w:val="32"/>
                <w:szCs w:val="32"/>
              </w:rPr>
            </w:pPr>
            <w:r>
              <w:rPr>
                <w:rFonts w:hint="eastAsia" w:ascii="仿宋_GB2312" w:eastAsia="仿宋_GB2312"/>
                <w:sz w:val="32"/>
                <w:szCs w:val="32"/>
              </w:rPr>
              <w:t>⑴ 能熟练识读组合体视图及机件表达方案。</w:t>
            </w:r>
          </w:p>
          <w:p>
            <w:pPr>
              <w:spacing w:line="360" w:lineRule="exact"/>
              <w:rPr>
                <w:rFonts w:ascii="仿宋_GB2312" w:eastAsia="仿宋_GB2312"/>
                <w:sz w:val="32"/>
                <w:szCs w:val="32"/>
              </w:rPr>
            </w:pPr>
            <w:r>
              <w:rPr>
                <w:rFonts w:hint="eastAsia" w:ascii="仿宋_GB2312" w:eastAsia="仿宋_GB2312"/>
                <w:sz w:val="32"/>
                <w:szCs w:val="32"/>
              </w:rPr>
              <w:t>⑵ 能熟练绘制组合体视图，掌握机件的各种表达方法。</w:t>
            </w:r>
          </w:p>
          <w:p>
            <w:pPr>
              <w:spacing w:line="360" w:lineRule="exact"/>
              <w:rPr>
                <w:rFonts w:ascii="仿宋_GB2312" w:eastAsia="仿宋_GB2312"/>
                <w:sz w:val="32"/>
                <w:szCs w:val="32"/>
              </w:rPr>
            </w:pPr>
            <w:r>
              <w:rPr>
                <w:rFonts w:hint="eastAsia" w:ascii="仿宋_GB2312" w:eastAsia="仿宋_GB2312"/>
                <w:sz w:val="32"/>
                <w:szCs w:val="32"/>
              </w:rPr>
              <w:t>⑶ 具备熟练绘制标准件、常用件及查表的能力。</w:t>
            </w:r>
          </w:p>
        </w:tc>
        <w:tc>
          <w:tcPr>
            <w:tcW w:w="1110" w:type="dxa"/>
            <w:tcBorders>
              <w:top w:val="nil"/>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72</w:t>
            </w:r>
          </w:p>
        </w:tc>
      </w:tr>
      <w:tr>
        <w:tblPrEx>
          <w:tblCellMar>
            <w:top w:w="0" w:type="dxa"/>
            <w:left w:w="0" w:type="dxa"/>
            <w:bottom w:w="0" w:type="dxa"/>
            <w:right w:w="0" w:type="dxa"/>
          </w:tblCellMar>
        </w:tblPrEx>
        <w:trPr>
          <w:trHeight w:val="1608" w:hRule="atLeast"/>
          <w:jc w:val="center"/>
        </w:trPr>
        <w:tc>
          <w:tcPr>
            <w:tcW w:w="568"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3</w:t>
            </w:r>
          </w:p>
        </w:tc>
        <w:tc>
          <w:tcPr>
            <w:tcW w:w="1102" w:type="dxa"/>
            <w:tcBorders>
              <w:top w:val="nil"/>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机械</w:t>
            </w:r>
          </w:p>
          <w:p>
            <w:pPr>
              <w:spacing w:line="360" w:lineRule="exact"/>
              <w:jc w:val="center"/>
              <w:rPr>
                <w:rFonts w:ascii="仿宋_GB2312" w:eastAsia="仿宋_GB2312"/>
                <w:sz w:val="32"/>
                <w:szCs w:val="32"/>
              </w:rPr>
            </w:pPr>
            <w:r>
              <w:rPr>
                <w:rFonts w:hint="eastAsia" w:ascii="仿宋_GB2312" w:eastAsia="仿宋_GB2312"/>
                <w:sz w:val="32"/>
                <w:szCs w:val="32"/>
              </w:rPr>
              <w:t>基础</w:t>
            </w:r>
          </w:p>
        </w:tc>
        <w:tc>
          <w:tcPr>
            <w:tcW w:w="6300" w:type="dxa"/>
            <w:tcBorders>
              <w:top w:val="nil"/>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通过讲授机械、机器、机构、构件、零件等基本概念。要求学生掌握机械中常用机构的组成、工作原理等基本知识。</w:t>
            </w:r>
          </w:p>
          <w:p>
            <w:pPr>
              <w:spacing w:line="360" w:lineRule="exact"/>
              <w:rPr>
                <w:rFonts w:ascii="仿宋_GB2312" w:eastAsia="仿宋_GB2312"/>
                <w:sz w:val="32"/>
                <w:szCs w:val="32"/>
              </w:rPr>
            </w:pPr>
            <w:r>
              <w:rPr>
                <w:rFonts w:hint="eastAsia" w:ascii="仿宋_GB2312" w:eastAsia="仿宋_GB2312"/>
                <w:sz w:val="32"/>
                <w:szCs w:val="32"/>
              </w:rPr>
              <w:t>⑴具备分析、选择常用机构的能力。</w:t>
            </w:r>
          </w:p>
          <w:p>
            <w:pPr>
              <w:spacing w:line="360" w:lineRule="exact"/>
              <w:rPr>
                <w:rFonts w:ascii="仿宋_GB2312" w:eastAsia="仿宋_GB2312"/>
                <w:sz w:val="32"/>
                <w:szCs w:val="32"/>
              </w:rPr>
            </w:pPr>
            <w:r>
              <w:rPr>
                <w:rFonts w:hint="eastAsia" w:ascii="仿宋_GB2312" w:eastAsia="仿宋_GB2312"/>
                <w:sz w:val="32"/>
                <w:szCs w:val="32"/>
              </w:rPr>
              <w:t>⑵具备机械通用零件的基本计算能力和标准选用能力。</w:t>
            </w:r>
          </w:p>
          <w:p>
            <w:pPr>
              <w:spacing w:line="360" w:lineRule="exact"/>
              <w:rPr>
                <w:rFonts w:ascii="仿宋_GB2312" w:eastAsia="仿宋_GB2312"/>
                <w:sz w:val="32"/>
                <w:szCs w:val="32"/>
              </w:rPr>
            </w:pPr>
            <w:r>
              <w:rPr>
                <w:rFonts w:hint="eastAsia" w:ascii="仿宋_GB2312" w:eastAsia="仿宋_GB2312"/>
                <w:sz w:val="32"/>
                <w:szCs w:val="32"/>
              </w:rPr>
              <w:t>⑶具备查阅图表、标准、规范、手册、图册等有关技术资料的基本能力。</w:t>
            </w:r>
          </w:p>
          <w:p>
            <w:pPr>
              <w:spacing w:line="360" w:lineRule="exact"/>
              <w:rPr>
                <w:rFonts w:ascii="仿宋_GB2312" w:eastAsia="仿宋_GB2312"/>
                <w:sz w:val="32"/>
                <w:szCs w:val="32"/>
              </w:rPr>
            </w:pPr>
            <w:r>
              <w:rPr>
                <w:rFonts w:hint="eastAsia" w:ascii="仿宋_GB2312" w:eastAsia="仿宋_GB2312"/>
                <w:sz w:val="32"/>
                <w:szCs w:val="32"/>
              </w:rPr>
              <w:t>⑷具备一定的使用、维护机械设备的知识和能力。</w:t>
            </w:r>
          </w:p>
        </w:tc>
        <w:tc>
          <w:tcPr>
            <w:tcW w:w="1110" w:type="dxa"/>
            <w:tcBorders>
              <w:top w:val="nil"/>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72</w:t>
            </w:r>
          </w:p>
        </w:tc>
      </w:tr>
      <w:tr>
        <w:tblPrEx>
          <w:tblCellMar>
            <w:top w:w="0" w:type="dxa"/>
            <w:left w:w="0" w:type="dxa"/>
            <w:bottom w:w="0" w:type="dxa"/>
            <w:right w:w="0" w:type="dxa"/>
          </w:tblCellMar>
        </w:tblPrEx>
        <w:trPr>
          <w:trHeight w:val="1055" w:hRule="atLeast"/>
          <w:jc w:val="center"/>
        </w:trPr>
        <w:tc>
          <w:tcPr>
            <w:tcW w:w="568" w:type="dxa"/>
            <w:tcBorders>
              <w:top w:val="nil"/>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4</w:t>
            </w:r>
          </w:p>
        </w:tc>
        <w:tc>
          <w:tcPr>
            <w:tcW w:w="1102" w:type="dxa"/>
            <w:tcBorders>
              <w:top w:val="nil"/>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液压与</w:t>
            </w:r>
          </w:p>
          <w:p>
            <w:pPr>
              <w:spacing w:line="360" w:lineRule="exact"/>
              <w:jc w:val="center"/>
              <w:rPr>
                <w:rFonts w:ascii="仿宋_GB2312" w:eastAsia="仿宋_GB2312"/>
                <w:sz w:val="32"/>
                <w:szCs w:val="32"/>
              </w:rPr>
            </w:pPr>
            <w:r>
              <w:rPr>
                <w:rFonts w:hint="eastAsia" w:ascii="仿宋_GB2312" w:eastAsia="仿宋_GB2312"/>
                <w:sz w:val="32"/>
                <w:szCs w:val="32"/>
              </w:rPr>
              <w:t>液力传动</w:t>
            </w:r>
          </w:p>
        </w:tc>
        <w:tc>
          <w:tcPr>
            <w:tcW w:w="63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通过讲授液压传动工作原理、组成、符号和优缺点，液压流体力学基础知识，常用液压泵、液压马达、液压缸、常用液压控制阀、液压辅助装置的结构、原理、结构和功用，常见回路的组成和分析，工程机械常见液压传动系统的分析、安装、使用和维护。</w:t>
            </w:r>
          </w:p>
          <w:p>
            <w:pPr>
              <w:spacing w:line="360" w:lineRule="exact"/>
              <w:rPr>
                <w:rFonts w:ascii="仿宋_GB2312" w:eastAsia="仿宋_GB2312"/>
                <w:sz w:val="32"/>
                <w:szCs w:val="32"/>
              </w:rPr>
            </w:pPr>
            <w:r>
              <w:rPr>
                <w:rFonts w:hint="eastAsia" w:ascii="仿宋_GB2312" w:eastAsia="仿宋_GB2312"/>
                <w:sz w:val="32"/>
                <w:szCs w:val="32"/>
              </w:rPr>
              <w:t>（1）熟悉液压和液力传动元件的结构、工作原理、性能特点、符号和选用方法；</w:t>
            </w:r>
          </w:p>
          <w:p>
            <w:pPr>
              <w:spacing w:line="360" w:lineRule="exact"/>
              <w:rPr>
                <w:rFonts w:ascii="仿宋_GB2312" w:eastAsia="仿宋_GB2312"/>
                <w:sz w:val="32"/>
                <w:szCs w:val="32"/>
              </w:rPr>
            </w:pPr>
            <w:r>
              <w:rPr>
                <w:rFonts w:hint="eastAsia" w:ascii="仿宋_GB2312" w:eastAsia="仿宋_GB2312"/>
                <w:sz w:val="32"/>
                <w:szCs w:val="32"/>
              </w:rPr>
              <w:t>（2）具有组装、调试、维修港口一般设备液压与液力系统的能力。</w:t>
            </w:r>
          </w:p>
        </w:tc>
        <w:tc>
          <w:tcPr>
            <w:tcW w:w="111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72</w:t>
            </w:r>
          </w:p>
        </w:tc>
      </w:tr>
      <w:tr>
        <w:tblPrEx>
          <w:tblCellMar>
            <w:top w:w="0" w:type="dxa"/>
            <w:left w:w="0" w:type="dxa"/>
            <w:bottom w:w="0" w:type="dxa"/>
            <w:right w:w="0" w:type="dxa"/>
          </w:tblCellMar>
        </w:tblPrEx>
        <w:trPr>
          <w:trHeight w:val="1163" w:hRule="atLeast"/>
          <w:jc w:val="center"/>
        </w:trPr>
        <w:tc>
          <w:tcPr>
            <w:tcW w:w="56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5</w:t>
            </w:r>
          </w:p>
        </w:tc>
        <w:tc>
          <w:tcPr>
            <w:tcW w:w="1102"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AutoCAD机械绘图</w:t>
            </w:r>
          </w:p>
        </w:tc>
        <w:tc>
          <w:tcPr>
            <w:tcW w:w="63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（1）掌握使用基本绘图命令绘制三视图。</w:t>
            </w:r>
          </w:p>
          <w:p>
            <w:pPr>
              <w:spacing w:line="360" w:lineRule="exact"/>
              <w:rPr>
                <w:rFonts w:ascii="仿宋_GB2312" w:eastAsia="仿宋_GB2312"/>
                <w:sz w:val="32"/>
                <w:szCs w:val="32"/>
              </w:rPr>
            </w:pPr>
            <w:r>
              <w:rPr>
                <w:rFonts w:hint="eastAsia" w:ascii="仿宋_GB2312" w:eastAsia="仿宋_GB2312"/>
                <w:sz w:val="32"/>
                <w:szCs w:val="32"/>
              </w:rPr>
              <w:t>（2）掌握层的概念、设置及层的属性管理。</w:t>
            </w:r>
          </w:p>
          <w:p>
            <w:pPr>
              <w:spacing w:line="360" w:lineRule="exact"/>
              <w:rPr>
                <w:rFonts w:ascii="仿宋_GB2312" w:eastAsia="仿宋_GB2312"/>
                <w:sz w:val="32"/>
                <w:szCs w:val="32"/>
              </w:rPr>
            </w:pPr>
            <w:r>
              <w:rPr>
                <w:rFonts w:hint="eastAsia" w:ascii="仿宋_GB2312" w:eastAsia="仿宋_GB2312"/>
                <w:sz w:val="32"/>
                <w:szCs w:val="32"/>
              </w:rPr>
              <w:t>（3）掌握图形编辑的基本方法和知识。</w:t>
            </w:r>
          </w:p>
          <w:p>
            <w:pPr>
              <w:spacing w:line="360" w:lineRule="exact"/>
              <w:rPr>
                <w:rFonts w:ascii="仿宋_GB2312" w:eastAsia="仿宋_GB2312"/>
                <w:sz w:val="32"/>
                <w:szCs w:val="32"/>
              </w:rPr>
            </w:pPr>
            <w:r>
              <w:rPr>
                <w:rFonts w:hint="eastAsia" w:ascii="仿宋_GB2312" w:eastAsia="仿宋_GB2312"/>
                <w:sz w:val="32"/>
                <w:szCs w:val="32"/>
              </w:rPr>
              <w:t>（4）熟练使用常用CAD软件进行绘图。</w:t>
            </w:r>
          </w:p>
        </w:tc>
        <w:tc>
          <w:tcPr>
            <w:tcW w:w="111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72</w:t>
            </w:r>
          </w:p>
        </w:tc>
      </w:tr>
      <w:tr>
        <w:tblPrEx>
          <w:tblCellMar>
            <w:top w:w="0" w:type="dxa"/>
            <w:left w:w="0" w:type="dxa"/>
            <w:bottom w:w="0" w:type="dxa"/>
            <w:right w:w="0" w:type="dxa"/>
          </w:tblCellMar>
        </w:tblPrEx>
        <w:trPr>
          <w:trHeight w:val="1163" w:hRule="atLeast"/>
          <w:jc w:val="center"/>
        </w:trPr>
        <w:tc>
          <w:tcPr>
            <w:tcW w:w="56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6</w:t>
            </w:r>
          </w:p>
        </w:tc>
        <w:tc>
          <w:tcPr>
            <w:tcW w:w="1102"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焊接</w:t>
            </w:r>
          </w:p>
          <w:p>
            <w:pPr>
              <w:spacing w:line="360" w:lineRule="exact"/>
              <w:rPr>
                <w:rFonts w:ascii="仿宋_GB2312" w:eastAsia="仿宋_GB2312"/>
                <w:sz w:val="32"/>
                <w:szCs w:val="32"/>
              </w:rPr>
            </w:pPr>
            <w:r>
              <w:rPr>
                <w:rFonts w:hint="eastAsia" w:ascii="仿宋_GB2312" w:eastAsia="仿宋_GB2312"/>
                <w:sz w:val="32"/>
                <w:szCs w:val="32"/>
              </w:rPr>
              <w:t>技术</w:t>
            </w:r>
          </w:p>
        </w:tc>
        <w:tc>
          <w:tcPr>
            <w:tcW w:w="63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通过讲授焊接的方法的过程、实质、特点、适用范围。掌握各类焊接的因素，典型电弧焊设备的结构，能正确选择、安装、调试设备、操作适用和维护保养。</w:t>
            </w:r>
          </w:p>
        </w:tc>
        <w:tc>
          <w:tcPr>
            <w:tcW w:w="111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72</w:t>
            </w:r>
          </w:p>
        </w:tc>
      </w:tr>
      <w:tr>
        <w:tblPrEx>
          <w:tblCellMar>
            <w:top w:w="0" w:type="dxa"/>
            <w:left w:w="0" w:type="dxa"/>
            <w:bottom w:w="0" w:type="dxa"/>
            <w:right w:w="0" w:type="dxa"/>
          </w:tblCellMar>
        </w:tblPrEx>
        <w:trPr>
          <w:trHeight w:val="1163" w:hRule="atLeast"/>
          <w:jc w:val="center"/>
        </w:trPr>
        <w:tc>
          <w:tcPr>
            <w:tcW w:w="56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7</w:t>
            </w:r>
          </w:p>
        </w:tc>
        <w:tc>
          <w:tcPr>
            <w:tcW w:w="1102"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PCL原理与自动化</w:t>
            </w:r>
          </w:p>
        </w:tc>
        <w:tc>
          <w:tcPr>
            <w:tcW w:w="63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通过讲授PCL的工作原理，能正确选择、安装、调试设备、操作适用和维护保养。</w:t>
            </w:r>
          </w:p>
        </w:tc>
        <w:tc>
          <w:tcPr>
            <w:tcW w:w="111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72</w:t>
            </w:r>
          </w:p>
        </w:tc>
      </w:tr>
      <w:tr>
        <w:tblPrEx>
          <w:tblCellMar>
            <w:top w:w="0" w:type="dxa"/>
            <w:left w:w="0" w:type="dxa"/>
            <w:bottom w:w="0" w:type="dxa"/>
            <w:right w:w="0" w:type="dxa"/>
          </w:tblCellMar>
        </w:tblPrEx>
        <w:trPr>
          <w:trHeight w:val="1163" w:hRule="atLeast"/>
          <w:jc w:val="center"/>
        </w:trPr>
        <w:tc>
          <w:tcPr>
            <w:tcW w:w="56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8</w:t>
            </w:r>
          </w:p>
        </w:tc>
        <w:tc>
          <w:tcPr>
            <w:tcW w:w="1102"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港口装卸工艺</w:t>
            </w:r>
          </w:p>
        </w:tc>
        <w:tc>
          <w:tcPr>
            <w:tcW w:w="63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通过讲授港口装卸工艺概述，件杂货装卸工艺，集装箱装卸工艺，木材装卸工艺，煤炭和矿石装卸工艺，散粮装卸工艺，散水泥（化肥）装卸工艺，液体货装卸工艺港口与港口装卸工作。要求学生掌握港口装卸工艺的标准。</w:t>
            </w:r>
          </w:p>
        </w:tc>
        <w:tc>
          <w:tcPr>
            <w:tcW w:w="111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72</w:t>
            </w:r>
          </w:p>
        </w:tc>
      </w:tr>
      <w:tr>
        <w:tblPrEx>
          <w:tblCellMar>
            <w:top w:w="0" w:type="dxa"/>
            <w:left w:w="0" w:type="dxa"/>
            <w:bottom w:w="0" w:type="dxa"/>
            <w:right w:w="0" w:type="dxa"/>
          </w:tblCellMar>
        </w:tblPrEx>
        <w:trPr>
          <w:trHeight w:val="1163" w:hRule="atLeast"/>
          <w:jc w:val="center"/>
        </w:trPr>
        <w:tc>
          <w:tcPr>
            <w:tcW w:w="56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9</w:t>
            </w:r>
          </w:p>
        </w:tc>
        <w:tc>
          <w:tcPr>
            <w:tcW w:w="1102"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交通法律法规</w:t>
            </w:r>
          </w:p>
        </w:tc>
        <w:tc>
          <w:tcPr>
            <w:tcW w:w="630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rPr>
                <w:rFonts w:ascii="仿宋_GB2312" w:eastAsia="仿宋_GB2312"/>
                <w:sz w:val="32"/>
                <w:szCs w:val="32"/>
              </w:rPr>
            </w:pPr>
            <w:r>
              <w:rPr>
                <w:rFonts w:hint="eastAsia" w:ascii="仿宋_GB2312" w:eastAsia="仿宋_GB2312"/>
                <w:sz w:val="32"/>
                <w:szCs w:val="32"/>
              </w:rPr>
              <w:t>通过讲授交通法律法规，要求学生掌握常用交通法律法规基本知识。具备查阅规范有关法规资料的基本能力。</w:t>
            </w:r>
          </w:p>
          <w:p>
            <w:pPr>
              <w:spacing w:line="360" w:lineRule="exact"/>
              <w:rPr>
                <w:rFonts w:ascii="仿宋_GB2312" w:eastAsia="仿宋_GB2312"/>
                <w:sz w:val="32"/>
                <w:szCs w:val="32"/>
              </w:rPr>
            </w:pPr>
          </w:p>
        </w:tc>
        <w:tc>
          <w:tcPr>
            <w:tcW w:w="1110" w:type="dxa"/>
            <w:tcBorders>
              <w:top w:val="single" w:color="auto" w:sz="4" w:space="0"/>
              <w:left w:val="nil"/>
              <w:bottom w:val="single" w:color="auto" w:sz="4" w:space="0"/>
              <w:right w:val="single" w:color="auto" w:sz="4" w:space="0"/>
            </w:tcBorders>
            <w:tcMar>
              <w:top w:w="13" w:type="dxa"/>
              <w:left w:w="13" w:type="dxa"/>
              <w:bottom w:w="0" w:type="dxa"/>
              <w:right w:w="13" w:type="dxa"/>
            </w:tcMar>
            <w:vAlign w:val="center"/>
          </w:tcPr>
          <w:p>
            <w:pPr>
              <w:spacing w:line="360" w:lineRule="exact"/>
              <w:jc w:val="center"/>
              <w:rPr>
                <w:rFonts w:ascii="仿宋_GB2312" w:eastAsia="仿宋_GB2312"/>
                <w:sz w:val="32"/>
                <w:szCs w:val="32"/>
              </w:rPr>
            </w:pPr>
            <w:r>
              <w:rPr>
                <w:rFonts w:hint="eastAsia" w:ascii="仿宋_GB2312" w:eastAsia="仿宋_GB2312"/>
                <w:sz w:val="32"/>
                <w:szCs w:val="32"/>
              </w:rPr>
              <w:t>72</w:t>
            </w:r>
          </w:p>
        </w:tc>
      </w:tr>
    </w:tbl>
    <w:p>
      <w:pPr>
        <w:pStyle w:val="2"/>
        <w:spacing w:after="0" w:line="240" w:lineRule="auto"/>
        <w:jc w:val="left"/>
        <w:rPr>
          <w:rFonts w:ascii="黑体" w:hAnsi="黑体" w:eastAsia="黑体"/>
          <w:b/>
          <w:sz w:val="32"/>
          <w:szCs w:val="32"/>
        </w:rPr>
      </w:pPr>
      <w:bookmarkStart w:id="20" w:name="_Toc508097560"/>
      <w:bookmarkStart w:id="21" w:name="_Toc29016"/>
      <w:bookmarkStart w:id="22" w:name="_Toc2968"/>
    </w:p>
    <w:p>
      <w:pPr>
        <w:pStyle w:val="14"/>
        <w:spacing w:beforeLines="20" w:beforeAutospacing="0" w:afterLines="20" w:afterAutospacing="0" w:line="480" w:lineRule="exact"/>
        <w:ind w:left="643"/>
        <w:rPr>
          <w:rFonts w:hint="eastAsia" w:ascii="仿宋" w:hAnsi="仿宋" w:eastAsia="仿宋" w:cs="仿宋"/>
          <w:b w:val="0"/>
          <w:bCs/>
          <w:sz w:val="32"/>
          <w:szCs w:val="32"/>
        </w:rPr>
      </w:pPr>
      <w:r>
        <w:rPr>
          <w:rFonts w:hint="eastAsia" w:ascii="仿宋" w:hAnsi="仿宋" w:eastAsia="仿宋" w:cs="仿宋"/>
          <w:b w:val="0"/>
          <w:bCs/>
          <w:sz w:val="32"/>
          <w:szCs w:val="32"/>
        </w:rPr>
        <w:t>2.专业核心课</w:t>
      </w:r>
    </w:p>
    <w:tbl>
      <w:tblPr>
        <w:tblStyle w:val="16"/>
        <w:tblpPr w:leftFromText="180" w:rightFromText="180" w:vertAnchor="text" w:horzAnchor="page" w:tblpX="1552" w:tblpY="1305"/>
        <w:tblOverlap w:val="never"/>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595"/>
        <w:gridCol w:w="5073"/>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20" w:type="dxa"/>
            <w:shd w:val="clear" w:color="auto" w:fill="auto"/>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序号</w:t>
            </w:r>
          </w:p>
        </w:tc>
        <w:tc>
          <w:tcPr>
            <w:tcW w:w="1595" w:type="dxa"/>
            <w:shd w:val="clear" w:color="auto" w:fill="auto"/>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课程名称</w:t>
            </w:r>
          </w:p>
        </w:tc>
        <w:tc>
          <w:tcPr>
            <w:tcW w:w="5073" w:type="dxa"/>
            <w:shd w:val="clear" w:color="auto" w:fill="auto"/>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课程目标、主要教学内容和要求</w:t>
            </w:r>
          </w:p>
        </w:tc>
        <w:tc>
          <w:tcPr>
            <w:tcW w:w="1780" w:type="dxa"/>
            <w:shd w:val="clear" w:color="auto" w:fill="auto"/>
            <w:vAlign w:val="center"/>
          </w:tcPr>
          <w:p>
            <w:pPr>
              <w:pStyle w:val="14"/>
              <w:spacing w:beforeLines="20" w:beforeAutospacing="0" w:afterLines="20" w:afterAutospacing="0" w:line="560" w:lineRule="exact"/>
              <w:jc w:val="center"/>
              <w:rPr>
                <w:rFonts w:ascii="仿宋_GB2312" w:hAnsi="Calibri" w:eastAsia="仿宋_GB2312"/>
                <w:b/>
                <w:bCs/>
                <w:kern w:val="2"/>
                <w:sz w:val="32"/>
                <w:szCs w:val="32"/>
              </w:rPr>
            </w:pPr>
            <w:r>
              <w:rPr>
                <w:rFonts w:hint="eastAsia" w:ascii="仿宋_GB2312" w:hAnsi="Calibri" w:eastAsia="仿宋_GB2312"/>
                <w:b/>
                <w:bCs/>
                <w:kern w:val="2"/>
                <w:sz w:val="32"/>
                <w:szCs w:val="32"/>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1</w:t>
            </w:r>
          </w:p>
        </w:tc>
        <w:tc>
          <w:tcPr>
            <w:tcW w:w="1595"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内燃机</w:t>
            </w:r>
          </w:p>
          <w:p>
            <w:pPr>
              <w:spacing w:line="360" w:lineRule="exact"/>
              <w:jc w:val="center"/>
              <w:rPr>
                <w:rFonts w:ascii="仿宋_GB2312" w:eastAsia="仿宋_GB2312"/>
                <w:sz w:val="32"/>
                <w:szCs w:val="32"/>
              </w:rPr>
            </w:pPr>
            <w:r>
              <w:rPr>
                <w:rFonts w:hint="eastAsia" w:ascii="仿宋_GB2312" w:eastAsia="仿宋_GB2312"/>
                <w:sz w:val="32"/>
                <w:szCs w:val="32"/>
              </w:rPr>
              <w:t>构造与维修</w:t>
            </w:r>
          </w:p>
        </w:tc>
        <w:tc>
          <w:tcPr>
            <w:tcW w:w="5073" w:type="dxa"/>
            <w:vAlign w:val="center"/>
          </w:tcPr>
          <w:p>
            <w:pPr>
              <w:spacing w:line="360" w:lineRule="exact"/>
              <w:rPr>
                <w:rFonts w:ascii="仿宋_GB2312" w:eastAsia="仿宋_GB2312"/>
                <w:sz w:val="32"/>
                <w:szCs w:val="32"/>
              </w:rPr>
            </w:pPr>
            <w:r>
              <w:rPr>
                <w:rFonts w:hint="eastAsia" w:ascii="仿宋_GB2312" w:eastAsia="仿宋_GB2312"/>
                <w:sz w:val="32"/>
                <w:szCs w:val="32"/>
              </w:rPr>
              <w:t>主要讲授作为工程机械动力的柴油机和汽油机的主要结构与工作原理。讲授内燃机的主要机构、系统组成、工作情况及各部分之间的相互关系，掌握内燃机主要零件的维护要点及使用注意事项。</w:t>
            </w:r>
          </w:p>
          <w:p>
            <w:pPr>
              <w:numPr>
                <w:ilvl w:val="0"/>
                <w:numId w:val="2"/>
              </w:numPr>
              <w:spacing w:line="360" w:lineRule="exact"/>
              <w:rPr>
                <w:rFonts w:ascii="仿宋_GB2312" w:eastAsia="仿宋_GB2312"/>
                <w:sz w:val="32"/>
                <w:szCs w:val="32"/>
              </w:rPr>
            </w:pPr>
            <w:r>
              <w:rPr>
                <w:rFonts w:hint="eastAsia" w:ascii="仿宋_GB2312" w:eastAsia="仿宋_GB2312"/>
                <w:sz w:val="32"/>
                <w:szCs w:val="32"/>
              </w:rPr>
              <w:t>掌握内燃机的基本工作原理</w:t>
            </w:r>
          </w:p>
          <w:p>
            <w:pPr>
              <w:numPr>
                <w:ilvl w:val="0"/>
                <w:numId w:val="2"/>
              </w:numPr>
              <w:spacing w:line="360" w:lineRule="exact"/>
              <w:rPr>
                <w:rFonts w:ascii="仿宋_GB2312" w:eastAsia="仿宋_GB2312"/>
                <w:sz w:val="32"/>
                <w:szCs w:val="32"/>
              </w:rPr>
            </w:pPr>
            <w:r>
              <w:rPr>
                <w:rFonts w:hint="eastAsia" w:ascii="仿宋_GB2312" w:eastAsia="仿宋_GB2312"/>
                <w:sz w:val="32"/>
                <w:szCs w:val="32"/>
              </w:rPr>
              <w:t>主要部件的结构原理和工作情况。</w:t>
            </w:r>
          </w:p>
          <w:p>
            <w:pPr>
              <w:spacing w:line="360" w:lineRule="exact"/>
              <w:rPr>
                <w:rFonts w:ascii="仿宋_GB2312" w:eastAsia="仿宋_GB2312"/>
                <w:sz w:val="32"/>
                <w:szCs w:val="32"/>
              </w:rPr>
            </w:pPr>
            <w:r>
              <w:rPr>
                <w:rFonts w:hint="eastAsia" w:ascii="仿宋_GB2312" w:eastAsia="仿宋_GB2312"/>
                <w:sz w:val="32"/>
                <w:szCs w:val="32"/>
              </w:rPr>
              <w:t>（3）了解内燃机的日常维护要点和使用注意事项。</w:t>
            </w:r>
          </w:p>
        </w:tc>
        <w:tc>
          <w:tcPr>
            <w:tcW w:w="1780" w:type="dxa"/>
            <w:vAlign w:val="center"/>
          </w:tcPr>
          <w:p>
            <w:pPr>
              <w:spacing w:line="360" w:lineRule="exact"/>
              <w:ind w:firstLine="320" w:firstLineChars="100"/>
              <w:rPr>
                <w:rFonts w:ascii="仿宋_GB2312" w:eastAsia="仿宋_GB2312"/>
                <w:sz w:val="32"/>
                <w:szCs w:val="32"/>
              </w:rPr>
            </w:pPr>
            <w:r>
              <w:rPr>
                <w:rFonts w:hint="eastAsia" w:ascii="仿宋_GB2312" w:eastAsia="仿宋_GB2312"/>
                <w:sz w:val="32"/>
                <w:szCs w:val="32"/>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2</w:t>
            </w:r>
          </w:p>
        </w:tc>
        <w:tc>
          <w:tcPr>
            <w:tcW w:w="1595"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叉车运行与维护</w:t>
            </w:r>
          </w:p>
        </w:tc>
        <w:tc>
          <w:tcPr>
            <w:tcW w:w="5073" w:type="dxa"/>
            <w:vAlign w:val="center"/>
          </w:tcPr>
          <w:p>
            <w:pPr>
              <w:spacing w:line="360" w:lineRule="exact"/>
              <w:rPr>
                <w:rFonts w:ascii="仿宋_GB2312" w:eastAsia="仿宋_GB2312"/>
                <w:sz w:val="32"/>
                <w:szCs w:val="32"/>
              </w:rPr>
            </w:pPr>
            <w:r>
              <w:rPr>
                <w:rFonts w:hint="eastAsia" w:ascii="仿宋_GB2312" w:eastAsia="仿宋_GB2312"/>
                <w:sz w:val="32"/>
                <w:szCs w:val="32"/>
              </w:rPr>
              <w:t>本课程讲授常见装卸搬运机械传动系、行驶系、转向系、制动系的结构和工作原理，以及叉车的工作装置的结构和工作原理。要求学掌握叉车驾驶、维护保养、叉车底盘和工作装置的基本结构和工作原理。</w:t>
            </w:r>
          </w:p>
        </w:tc>
        <w:tc>
          <w:tcPr>
            <w:tcW w:w="1780" w:type="dxa"/>
            <w:vAlign w:val="center"/>
          </w:tcPr>
          <w:p>
            <w:pPr>
              <w:spacing w:line="360" w:lineRule="exact"/>
              <w:ind w:firstLine="320" w:firstLineChars="100"/>
              <w:rPr>
                <w:rFonts w:ascii="仿宋_GB2312" w:eastAsia="仿宋_GB2312"/>
                <w:sz w:val="32"/>
                <w:szCs w:val="32"/>
              </w:rPr>
            </w:pPr>
            <w:r>
              <w:rPr>
                <w:rFonts w:hint="eastAsia" w:ascii="仿宋_GB2312" w:eastAsia="仿宋_GB2312"/>
                <w:sz w:val="32"/>
                <w:szCs w:val="32"/>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3</w:t>
            </w:r>
          </w:p>
        </w:tc>
        <w:tc>
          <w:tcPr>
            <w:tcW w:w="1595"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装载机运行与维护</w:t>
            </w:r>
          </w:p>
        </w:tc>
        <w:tc>
          <w:tcPr>
            <w:tcW w:w="5073" w:type="dxa"/>
            <w:vAlign w:val="center"/>
          </w:tcPr>
          <w:p>
            <w:pPr>
              <w:spacing w:line="360" w:lineRule="exact"/>
              <w:rPr>
                <w:rFonts w:ascii="仿宋_GB2312" w:eastAsia="仿宋_GB2312"/>
                <w:sz w:val="32"/>
                <w:szCs w:val="32"/>
              </w:rPr>
            </w:pPr>
            <w:r>
              <w:rPr>
                <w:rFonts w:hint="eastAsia" w:ascii="仿宋_GB2312" w:eastAsia="仿宋_GB2312"/>
                <w:sz w:val="32"/>
                <w:szCs w:val="32"/>
              </w:rPr>
              <w:t>本课程讲授装载机的传动系、行驶系、转向系、制动系的结构和工作原理，以及装载机的工作装置的结构和工作原理。要求学掌握装载机驾驶、作业，日常的维护保养、装载机底盘和工作装置的基本结构和工作原理。</w:t>
            </w:r>
          </w:p>
        </w:tc>
        <w:tc>
          <w:tcPr>
            <w:tcW w:w="1780" w:type="dxa"/>
            <w:vAlign w:val="center"/>
          </w:tcPr>
          <w:p>
            <w:pPr>
              <w:spacing w:line="360" w:lineRule="exact"/>
              <w:ind w:firstLine="320" w:firstLineChars="100"/>
              <w:rPr>
                <w:rFonts w:ascii="仿宋_GB2312" w:eastAsia="仿宋_GB2312"/>
                <w:sz w:val="32"/>
                <w:szCs w:val="32"/>
              </w:rPr>
            </w:pPr>
            <w:r>
              <w:rPr>
                <w:rFonts w:hint="eastAsia" w:ascii="仿宋_GB2312" w:eastAsia="仿宋_GB2312"/>
                <w:sz w:val="32"/>
                <w:szCs w:val="32"/>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4</w:t>
            </w:r>
          </w:p>
        </w:tc>
        <w:tc>
          <w:tcPr>
            <w:tcW w:w="1595"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挖掘机运行与维护</w:t>
            </w:r>
          </w:p>
        </w:tc>
        <w:tc>
          <w:tcPr>
            <w:tcW w:w="5073" w:type="dxa"/>
            <w:vAlign w:val="center"/>
          </w:tcPr>
          <w:p>
            <w:pPr>
              <w:spacing w:line="360" w:lineRule="exact"/>
              <w:rPr>
                <w:rFonts w:ascii="仿宋_GB2312" w:eastAsia="仿宋_GB2312"/>
                <w:sz w:val="32"/>
                <w:szCs w:val="32"/>
              </w:rPr>
            </w:pPr>
            <w:r>
              <w:rPr>
                <w:rFonts w:hint="eastAsia" w:ascii="仿宋_GB2312" w:eastAsia="仿宋_GB2312"/>
                <w:sz w:val="32"/>
                <w:szCs w:val="32"/>
              </w:rPr>
              <w:t>本课程讲授挖掘机的传动系、行驶系、转向系、制动系的结构和工作原理，以及挖掘机的工作装置的结构和工作原理。要求学掌握装载机驾驶、作业，日常的维护保养、挖掘机底盘和工作装置的基本结构和工作原理。</w:t>
            </w:r>
          </w:p>
        </w:tc>
        <w:tc>
          <w:tcPr>
            <w:tcW w:w="1780" w:type="dxa"/>
            <w:vAlign w:val="center"/>
          </w:tcPr>
          <w:p>
            <w:pPr>
              <w:spacing w:line="360" w:lineRule="exact"/>
              <w:ind w:firstLine="320" w:firstLineChars="100"/>
              <w:rPr>
                <w:rFonts w:ascii="仿宋_GB2312" w:eastAsia="仿宋_GB2312"/>
                <w:sz w:val="32"/>
                <w:szCs w:val="32"/>
              </w:rPr>
            </w:pPr>
            <w:r>
              <w:rPr>
                <w:rFonts w:hint="eastAsia" w:ascii="仿宋_GB2312" w:eastAsia="仿宋_GB2312"/>
                <w:sz w:val="32"/>
                <w:szCs w:val="32"/>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5</w:t>
            </w:r>
          </w:p>
        </w:tc>
        <w:tc>
          <w:tcPr>
            <w:tcW w:w="1595"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起重输送机械（集装箱）</w:t>
            </w:r>
          </w:p>
        </w:tc>
        <w:tc>
          <w:tcPr>
            <w:tcW w:w="5073" w:type="dxa"/>
            <w:vAlign w:val="center"/>
          </w:tcPr>
          <w:p>
            <w:pPr>
              <w:spacing w:line="360" w:lineRule="exact"/>
              <w:rPr>
                <w:rFonts w:ascii="仿宋_GB2312" w:eastAsia="仿宋_GB2312"/>
                <w:sz w:val="32"/>
                <w:szCs w:val="32"/>
              </w:rPr>
            </w:pPr>
            <w:r>
              <w:rPr>
                <w:rFonts w:hint="eastAsia" w:ascii="仿宋_GB2312" w:eastAsia="仿宋_GB2312"/>
                <w:sz w:val="32"/>
                <w:szCs w:val="32"/>
              </w:rPr>
              <w:t>通过讲授起重机械的典型结构和工作原理。港口带式输送机、斗式提升机、气力输送机、散货装船机、斗轮堆取料机和集装箱起重运输机械的构造、工作原理。</w:t>
            </w:r>
          </w:p>
          <w:p>
            <w:pPr>
              <w:numPr>
                <w:ilvl w:val="0"/>
                <w:numId w:val="3"/>
              </w:numPr>
              <w:spacing w:line="360" w:lineRule="exact"/>
              <w:rPr>
                <w:rFonts w:ascii="仿宋_GB2312" w:eastAsia="仿宋_GB2312"/>
                <w:sz w:val="32"/>
                <w:szCs w:val="32"/>
              </w:rPr>
            </w:pPr>
            <w:r>
              <w:rPr>
                <w:rFonts w:hint="eastAsia" w:ascii="仿宋_GB2312" w:eastAsia="仿宋_GB2312"/>
                <w:sz w:val="32"/>
                <w:szCs w:val="32"/>
              </w:rPr>
              <w:t>掌握起重机械的组成和工作原理。</w:t>
            </w:r>
          </w:p>
          <w:p>
            <w:pPr>
              <w:spacing w:line="360" w:lineRule="exact"/>
              <w:rPr>
                <w:rFonts w:ascii="仿宋_GB2312" w:eastAsia="仿宋_GB2312"/>
                <w:sz w:val="32"/>
                <w:szCs w:val="32"/>
              </w:rPr>
            </w:pPr>
            <w:r>
              <w:rPr>
                <w:rFonts w:hint="eastAsia" w:ascii="仿宋_GB2312" w:eastAsia="仿宋_GB2312"/>
                <w:sz w:val="32"/>
                <w:szCs w:val="32"/>
              </w:rPr>
              <w:t>（2）掌握带式输送机与集装箱机械的构造、工作原理。</w:t>
            </w:r>
          </w:p>
          <w:p>
            <w:pPr>
              <w:spacing w:line="360" w:lineRule="exact"/>
              <w:rPr>
                <w:rFonts w:ascii="仿宋_GB2312" w:eastAsia="仿宋_GB2312"/>
                <w:sz w:val="32"/>
                <w:szCs w:val="32"/>
              </w:rPr>
            </w:pPr>
            <w:r>
              <w:rPr>
                <w:rFonts w:hint="eastAsia" w:ascii="仿宋_GB2312" w:eastAsia="仿宋_GB2312"/>
                <w:sz w:val="32"/>
                <w:szCs w:val="32"/>
              </w:rPr>
              <w:t>（3）熟悉港口专用机械典型机型的结构和工作原理。</w:t>
            </w:r>
          </w:p>
        </w:tc>
        <w:tc>
          <w:tcPr>
            <w:tcW w:w="1780"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6</w:t>
            </w:r>
          </w:p>
        </w:tc>
        <w:tc>
          <w:tcPr>
            <w:tcW w:w="1595"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港机修理</w:t>
            </w:r>
          </w:p>
        </w:tc>
        <w:tc>
          <w:tcPr>
            <w:tcW w:w="5073" w:type="dxa"/>
            <w:vAlign w:val="center"/>
          </w:tcPr>
          <w:p>
            <w:pPr>
              <w:spacing w:line="360" w:lineRule="exact"/>
              <w:rPr>
                <w:rFonts w:ascii="仿宋_GB2312" w:eastAsia="仿宋_GB2312"/>
                <w:sz w:val="32"/>
                <w:szCs w:val="32"/>
              </w:rPr>
            </w:pPr>
            <w:r>
              <w:rPr>
                <w:rFonts w:hint="eastAsia" w:ascii="仿宋_GB2312" w:eastAsia="仿宋_GB2312"/>
                <w:sz w:val="32"/>
                <w:szCs w:val="32"/>
              </w:rPr>
              <w:t>讲授一般修理工艺、内燃机修理工艺、底盘修理工艺和港口起重输送机械修理工艺。</w:t>
            </w:r>
          </w:p>
          <w:p>
            <w:pPr>
              <w:spacing w:line="360" w:lineRule="exact"/>
              <w:rPr>
                <w:rFonts w:ascii="仿宋_GB2312" w:eastAsia="仿宋_GB2312"/>
                <w:sz w:val="32"/>
                <w:szCs w:val="32"/>
              </w:rPr>
            </w:pPr>
            <w:r>
              <w:rPr>
                <w:rFonts w:hint="eastAsia" w:ascii="仿宋_GB2312" w:eastAsia="仿宋_GB2312"/>
                <w:sz w:val="32"/>
                <w:szCs w:val="32"/>
              </w:rPr>
              <w:t>要求学生掌握港口机械的装配工艺和调试，以及各主要零件的损坏原因，检验方法及修复方法。</w:t>
            </w:r>
          </w:p>
        </w:tc>
        <w:tc>
          <w:tcPr>
            <w:tcW w:w="1780" w:type="dxa"/>
            <w:vAlign w:val="center"/>
          </w:tcPr>
          <w:p>
            <w:pPr>
              <w:spacing w:line="360" w:lineRule="exact"/>
              <w:jc w:val="center"/>
              <w:rPr>
                <w:rFonts w:ascii="仿宋_GB2312" w:eastAsia="仿宋_GB2312"/>
                <w:sz w:val="32"/>
                <w:szCs w:val="32"/>
              </w:rPr>
            </w:pPr>
            <w:r>
              <w:rPr>
                <w:rFonts w:hint="eastAsia" w:ascii="仿宋_GB2312" w:eastAsia="仿宋_GB2312"/>
                <w:sz w:val="32"/>
                <w:szCs w:val="32"/>
              </w:rPr>
              <w:t>72</w:t>
            </w:r>
          </w:p>
        </w:tc>
      </w:tr>
    </w:tbl>
    <w:p>
      <w:pPr>
        <w:pStyle w:val="14"/>
        <w:spacing w:before="0" w:beforeAutospacing="0" w:after="0" w:afterAutospacing="0" w:line="560" w:lineRule="exact"/>
        <w:ind w:firstLine="640" w:firstLineChars="200"/>
        <w:jc w:val="both"/>
        <w:rPr>
          <w:rFonts w:ascii="仿宋_GB2312" w:hAnsi="Times New Roman" w:eastAsia="仿宋_GB2312"/>
          <w:b w:val="0"/>
          <w:bCs w:val="0"/>
          <w:color w:val="000000" w:themeColor="text1"/>
          <w:kern w:val="2"/>
          <w:sz w:val="32"/>
          <w:szCs w:val="32"/>
        </w:rPr>
      </w:pPr>
      <w:bookmarkStart w:id="23" w:name="_Toc72_WPSOffice_Level3"/>
      <w:r>
        <w:rPr>
          <w:rFonts w:hint="eastAsia" w:ascii="仿宋_GB2312" w:hAnsi="Times New Roman" w:eastAsia="仿宋_GB2312"/>
          <w:b w:val="0"/>
          <w:bCs w:val="0"/>
          <w:color w:val="000000" w:themeColor="text1"/>
          <w:kern w:val="2"/>
          <w:sz w:val="32"/>
          <w:szCs w:val="32"/>
        </w:rPr>
        <w:t>3.综合实训</w:t>
      </w:r>
      <w:bookmarkEnd w:id="23"/>
    </w:p>
    <w:p>
      <w:pPr>
        <w:pStyle w:val="6"/>
        <w:autoSpaceDE w:val="0"/>
        <w:autoSpaceDN w:val="0"/>
        <w:spacing w:line="360" w:lineRule="auto"/>
        <w:ind w:right="-1" w:firstLine="640" w:firstLineChars="200"/>
        <w:rPr>
          <w:rFonts w:ascii="仿宋_GB2312" w:eastAsia="仿宋_GB2312" w:cs="Times New Roman"/>
          <w:sz w:val="32"/>
          <w:szCs w:val="32"/>
        </w:rPr>
      </w:pPr>
      <w:r>
        <w:rPr>
          <w:rFonts w:hint="eastAsia" w:ascii="仿宋_GB2312" w:eastAsia="仿宋_GB2312" w:cs="Times New Roman"/>
          <w:sz w:val="32"/>
          <w:szCs w:val="32"/>
        </w:rPr>
        <w:t>综合实训是本专业技能方向课，是学生从事</w:t>
      </w:r>
      <w:r>
        <w:rPr>
          <w:rFonts w:hint="eastAsia" w:ascii="仿宋_GB2312" w:eastAsia="仿宋_GB2312" w:cs="Times New Roman"/>
          <w:sz w:val="32"/>
          <w:szCs w:val="32"/>
          <w:lang w:val="en-US"/>
        </w:rPr>
        <w:t>港口机械运用与维护</w:t>
      </w:r>
      <w:r>
        <w:rPr>
          <w:rFonts w:hint="eastAsia" w:ascii="仿宋_GB2312" w:eastAsia="仿宋_GB2312" w:cs="Times New Roman"/>
          <w:sz w:val="32"/>
          <w:szCs w:val="32"/>
        </w:rPr>
        <w:t>岗位工作的演练，通过综合实训，使学生了解</w:t>
      </w:r>
      <w:r>
        <w:rPr>
          <w:rFonts w:hint="eastAsia" w:ascii="仿宋_GB2312" w:eastAsia="仿宋_GB2312" w:cs="Times New Roman"/>
          <w:sz w:val="32"/>
          <w:szCs w:val="32"/>
          <w:lang w:val="en-US"/>
        </w:rPr>
        <w:t>港口机械驾驶、维护、保养</w:t>
      </w:r>
      <w:r>
        <w:rPr>
          <w:rFonts w:hint="eastAsia" w:ascii="仿宋_GB2312" w:eastAsia="仿宋_GB2312" w:cs="Times New Roman"/>
          <w:sz w:val="32"/>
          <w:szCs w:val="32"/>
        </w:rPr>
        <w:t>过程，了解相关知识和各项基本操作技能。对有条件的学校，建议实施校企合作，建立校内生产性实训基地， 安排学生进行生产性实训。生产性实训学期、学时数由学校根据实际情况自定。通过完成</w:t>
      </w:r>
      <w:r>
        <w:rPr>
          <w:rFonts w:hint="eastAsia" w:ascii="仿宋_GB2312" w:eastAsia="仿宋_GB2312" w:cs="Times New Roman"/>
          <w:sz w:val="32"/>
          <w:szCs w:val="32"/>
          <w:lang w:val="en-US"/>
        </w:rPr>
        <w:t>搬运车辆驾驶</w:t>
      </w:r>
      <w:r>
        <w:rPr>
          <w:rFonts w:hint="eastAsia" w:ascii="仿宋_GB2312" w:eastAsia="仿宋_GB2312" w:cs="Times New Roman"/>
          <w:sz w:val="32"/>
          <w:szCs w:val="32"/>
        </w:rPr>
        <w:t>、</w:t>
      </w:r>
      <w:r>
        <w:rPr>
          <w:rFonts w:hint="eastAsia" w:ascii="仿宋_GB2312" w:eastAsia="仿宋_GB2312" w:cs="Times New Roman"/>
          <w:sz w:val="32"/>
          <w:szCs w:val="32"/>
          <w:lang w:val="en-US"/>
        </w:rPr>
        <w:t>维护保养</w:t>
      </w:r>
      <w:r>
        <w:rPr>
          <w:rFonts w:hint="eastAsia" w:ascii="仿宋_GB2312" w:eastAsia="仿宋_GB2312" w:cs="Times New Roman"/>
          <w:sz w:val="32"/>
          <w:szCs w:val="32"/>
        </w:rPr>
        <w:t>等工作任务，训练学生的专业技能，培养吃苦耐劳的敬业精神，使学生具有较强的沟通合作能力和责任意识，提高学生的职业素质。</w:t>
      </w:r>
    </w:p>
    <w:p>
      <w:pPr>
        <w:pStyle w:val="14"/>
        <w:spacing w:before="0" w:beforeAutospacing="0" w:after="0" w:afterAutospacing="0" w:line="560" w:lineRule="exact"/>
        <w:ind w:firstLine="640" w:firstLineChars="200"/>
        <w:jc w:val="both"/>
        <w:rPr>
          <w:rFonts w:ascii="仿宋_GB2312" w:hAnsi="Times New Roman" w:eastAsia="仿宋_GB2312"/>
          <w:b w:val="0"/>
          <w:bCs w:val="0"/>
          <w:color w:val="000000" w:themeColor="text1"/>
          <w:kern w:val="2"/>
          <w:sz w:val="32"/>
          <w:szCs w:val="32"/>
        </w:rPr>
      </w:pPr>
      <w:bookmarkStart w:id="24" w:name="_Toc10942_WPSOffice_Level3"/>
      <w:r>
        <w:rPr>
          <w:rFonts w:hint="eastAsia" w:ascii="仿宋_GB2312" w:hAnsi="Times New Roman" w:eastAsia="仿宋_GB2312"/>
          <w:b w:val="0"/>
          <w:bCs w:val="0"/>
          <w:color w:val="000000" w:themeColor="text1"/>
          <w:kern w:val="2"/>
          <w:sz w:val="32"/>
          <w:szCs w:val="32"/>
        </w:rPr>
        <w:t>4.跟岗、顶岗实习</w:t>
      </w:r>
      <w:bookmarkEnd w:id="24"/>
    </w:p>
    <w:p>
      <w:pPr>
        <w:pStyle w:val="6"/>
        <w:autoSpaceDE w:val="0"/>
        <w:autoSpaceDN w:val="0"/>
        <w:spacing w:line="360" w:lineRule="auto"/>
        <w:ind w:right="-1" w:firstLine="640" w:firstLineChars="200"/>
        <w:rPr>
          <w:rFonts w:ascii="仿宋_GB2312" w:eastAsia="仿宋_GB2312" w:cs="Times New Roman"/>
          <w:sz w:val="32"/>
          <w:szCs w:val="32"/>
        </w:rPr>
      </w:pPr>
      <w:r>
        <w:rPr>
          <w:rFonts w:hint="eastAsia" w:ascii="仿宋_GB2312" w:eastAsia="仿宋_GB2312" w:cs="Times New Roman"/>
          <w:sz w:val="32"/>
          <w:szCs w:val="32"/>
          <w:lang w:val="en-US"/>
        </w:rPr>
        <w:t>跟岗、</w:t>
      </w:r>
      <w:r>
        <w:rPr>
          <w:rFonts w:hint="eastAsia" w:ascii="仿宋_GB2312" w:eastAsia="仿宋_GB2312" w:cs="Times New Roman"/>
          <w:sz w:val="32"/>
          <w:szCs w:val="32"/>
        </w:rPr>
        <w:t>顶岗实习是本专业学生职业技能和职业岗位能力培养的重要实践教学环节，要认真落实教育部、财政部关于“中等职业学校学生实习管理办法”的有关要求，保证学生</w:t>
      </w:r>
      <w:r>
        <w:rPr>
          <w:rFonts w:hint="eastAsia" w:ascii="仿宋_GB2312" w:eastAsia="仿宋_GB2312" w:cs="Times New Roman"/>
          <w:sz w:val="32"/>
          <w:szCs w:val="32"/>
          <w:lang w:val="en-US"/>
        </w:rPr>
        <w:t>跟岗、</w:t>
      </w:r>
      <w:r>
        <w:rPr>
          <w:rFonts w:hint="eastAsia" w:ascii="仿宋_GB2312" w:eastAsia="仿宋_GB2312" w:cs="Times New Roman"/>
          <w:sz w:val="32"/>
          <w:szCs w:val="32"/>
        </w:rPr>
        <w:t>顶岗实习的岗位与其所学专业面向的岗位群基本一致。在确保学生实习总量的前提下，可根据实际需要，通过校企合作，实行工学交替、多学期、分阶段安排学生实习。</w:t>
      </w:r>
    </w:p>
    <w:p/>
    <w:p>
      <w:pPr>
        <w:tabs>
          <w:tab w:val="left" w:pos="643"/>
        </w:tabs>
        <w:spacing w:line="560" w:lineRule="exact"/>
        <w:ind w:firstLine="320" w:firstLineChars="100"/>
        <w:jc w:val="left"/>
        <w:outlineLvl w:val="0"/>
        <w:rPr>
          <w:rFonts w:ascii="黑体" w:hAnsi="黑体" w:eastAsia="黑体"/>
          <w:bCs/>
          <w:sz w:val="32"/>
          <w:szCs w:val="40"/>
        </w:rPr>
      </w:pPr>
      <w:r>
        <w:rPr>
          <w:rFonts w:hint="eastAsia" w:ascii="黑体" w:hAnsi="黑体" w:eastAsia="黑体"/>
          <w:bCs/>
          <w:sz w:val="32"/>
          <w:szCs w:val="40"/>
        </w:rPr>
        <w:t>七、教学</w:t>
      </w:r>
      <w:bookmarkEnd w:id="20"/>
      <w:bookmarkEnd w:id="21"/>
      <w:r>
        <w:rPr>
          <w:rFonts w:hint="eastAsia" w:ascii="黑体" w:hAnsi="黑体" w:eastAsia="黑体"/>
          <w:bCs/>
          <w:sz w:val="32"/>
          <w:szCs w:val="40"/>
        </w:rPr>
        <w:t>安排与总体安排</w:t>
      </w:r>
      <w:bookmarkEnd w:id="22"/>
    </w:p>
    <w:p>
      <w:pPr>
        <w:pStyle w:val="31"/>
        <w:spacing w:line="360" w:lineRule="auto"/>
        <w:ind w:firstLine="0" w:firstLineChars="0"/>
      </w:pPr>
      <w:bookmarkStart w:id="25" w:name="_Toc15615_WPSOffice_Level2"/>
      <w:r>
        <w:rPr>
          <w:rFonts w:hint="eastAsia" w:ascii="黑体" w:eastAsia="黑体" w:cs="黑体"/>
          <w:b w:val="0"/>
          <w:bCs w:val="0"/>
          <w:sz w:val="32"/>
          <w:szCs w:val="32"/>
        </w:rPr>
        <w:t xml:space="preserve">  </w:t>
      </w:r>
      <w:bookmarkStart w:id="26" w:name="_Toc51019221"/>
      <w:r>
        <w:rPr>
          <w:rFonts w:hint="eastAsia" w:ascii="楷体_GB2312" w:hAnsi="Times New Roman" w:eastAsia="楷体_GB2312"/>
          <w:bCs w:val="0"/>
          <w:color w:val="auto"/>
          <w:kern w:val="2"/>
          <w:sz w:val="32"/>
          <w:szCs w:val="32"/>
        </w:rPr>
        <w:t>（一）基本要求</w:t>
      </w:r>
      <w:bookmarkEnd w:id="26"/>
      <w:r>
        <w:rPr>
          <w:rFonts w:hint="eastAsia" w:ascii="楷体_GB2312" w:hAnsi="Times New Roman" w:eastAsia="楷体_GB2312"/>
          <w:bCs w:val="0"/>
          <w:color w:val="auto"/>
          <w:kern w:val="2"/>
          <w:sz w:val="32"/>
          <w:szCs w:val="32"/>
        </w:rPr>
        <w:t xml:space="preserve"> </w:t>
      </w:r>
    </w:p>
    <w:p>
      <w:pPr>
        <w:pStyle w:val="31"/>
        <w:spacing w:line="360" w:lineRule="auto"/>
        <w:ind w:firstLine="0" w:firstLineChars="0"/>
        <w:rPr>
          <w:rFonts w:ascii="黑体" w:eastAsia="黑体"/>
          <w:sz w:val="24"/>
          <w:szCs w:val="24"/>
        </w:rPr>
      </w:pPr>
      <w:r>
        <w:rPr>
          <w:rFonts w:hint="eastAsia" w:ascii="黑体" w:eastAsia="黑体"/>
          <w:b w:val="0"/>
        </w:rPr>
        <w:t xml:space="preserve"> </w:t>
      </w:r>
      <w:r>
        <w:rPr>
          <w:rFonts w:hint="eastAsia" w:ascii="黑体" w:eastAsia="黑体"/>
          <w:b w:val="0"/>
          <w:sz w:val="24"/>
          <w:szCs w:val="24"/>
        </w:rPr>
        <w:t xml:space="preserve"> </w:t>
      </w:r>
      <w:r>
        <w:rPr>
          <w:rFonts w:hint="eastAsia" w:hAnsi="Calibri"/>
          <w:b w:val="0"/>
          <w:bCs w:val="0"/>
          <w:color w:val="auto"/>
          <w:kern w:val="2"/>
          <w:sz w:val="32"/>
          <w:szCs w:val="32"/>
        </w:rPr>
        <w:t>教学活动时间分配表（按周分配）</w:t>
      </w:r>
    </w:p>
    <w:tbl>
      <w:tblPr>
        <w:tblStyle w:val="15"/>
        <w:tblW w:w="8516"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06"/>
        <w:gridCol w:w="873"/>
        <w:gridCol w:w="874"/>
        <w:gridCol w:w="874"/>
        <w:gridCol w:w="874"/>
        <w:gridCol w:w="874"/>
        <w:gridCol w:w="87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学期</w:t>
            </w:r>
          </w:p>
        </w:tc>
        <w:tc>
          <w:tcPr>
            <w:tcW w:w="873"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一</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二</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三</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四</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五</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六</w:t>
            </w:r>
          </w:p>
        </w:tc>
        <w:tc>
          <w:tcPr>
            <w:tcW w:w="867"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入学教育</w:t>
            </w:r>
          </w:p>
        </w:tc>
        <w:tc>
          <w:tcPr>
            <w:tcW w:w="873"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课堂教学</w:t>
            </w:r>
          </w:p>
        </w:tc>
        <w:tc>
          <w:tcPr>
            <w:tcW w:w="873"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17</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18</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18</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18</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复习考试</w:t>
            </w:r>
          </w:p>
        </w:tc>
        <w:tc>
          <w:tcPr>
            <w:tcW w:w="873"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跟岗实习</w:t>
            </w:r>
          </w:p>
        </w:tc>
        <w:tc>
          <w:tcPr>
            <w:tcW w:w="873"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顶岗生产实习</w:t>
            </w:r>
          </w:p>
        </w:tc>
        <w:tc>
          <w:tcPr>
            <w:tcW w:w="873"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c>
          <w:tcPr>
            <w:tcW w:w="867"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其他/毕业教育</w:t>
            </w:r>
          </w:p>
        </w:tc>
        <w:tc>
          <w:tcPr>
            <w:tcW w:w="873"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机动</w:t>
            </w:r>
          </w:p>
        </w:tc>
        <w:tc>
          <w:tcPr>
            <w:tcW w:w="873"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p>
        </w:tc>
        <w:tc>
          <w:tcPr>
            <w:tcW w:w="867"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trPr>
        <w:tc>
          <w:tcPr>
            <w:tcW w:w="2406"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合计</w:t>
            </w:r>
          </w:p>
        </w:tc>
        <w:tc>
          <w:tcPr>
            <w:tcW w:w="873"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c>
          <w:tcPr>
            <w:tcW w:w="874"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c>
          <w:tcPr>
            <w:tcW w:w="867" w:type="dxa"/>
            <w:tcMar>
              <w:top w:w="15" w:type="dxa"/>
              <w:left w:w="15" w:type="dxa"/>
              <w:bottom w:w="0" w:type="dxa"/>
              <w:right w:w="15" w:type="dxa"/>
            </w:tcMar>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129</w:t>
            </w:r>
          </w:p>
        </w:tc>
      </w:tr>
    </w:tbl>
    <w:p>
      <w:pPr>
        <w:pStyle w:val="31"/>
        <w:spacing w:line="240" w:lineRule="auto"/>
        <w:ind w:firstLine="0" w:firstLineChars="0"/>
      </w:pPr>
    </w:p>
    <w:p>
      <w:pPr>
        <w:pStyle w:val="31"/>
        <w:spacing w:line="240" w:lineRule="auto"/>
        <w:ind w:firstLine="0" w:firstLineChars="0"/>
      </w:pPr>
    </w:p>
    <w:p>
      <w:pPr>
        <w:pStyle w:val="31"/>
        <w:spacing w:line="240" w:lineRule="auto"/>
        <w:ind w:firstLine="0" w:firstLineChars="0"/>
      </w:pPr>
    </w:p>
    <w:p>
      <w:pPr>
        <w:spacing w:line="560" w:lineRule="exact"/>
        <w:outlineLvl w:val="1"/>
      </w:pPr>
      <w:bookmarkStart w:id="27" w:name="_Toc26452_WPSOffice_Level2"/>
      <w:bookmarkStart w:id="28" w:name="_Toc12886"/>
      <w:bookmarkStart w:id="29" w:name="_Toc22013_WPSOffice_Level2"/>
      <w:r>
        <w:rPr>
          <w:rFonts w:hint="eastAsia" w:ascii="楷体_GB2312" w:hAnsi="Times New Roman" w:eastAsia="楷体_GB2312"/>
          <w:b/>
          <w:sz w:val="32"/>
          <w:szCs w:val="32"/>
        </w:rPr>
        <w:t>（二）教学安排建议</w:t>
      </w:r>
      <w:bookmarkEnd w:id="27"/>
      <w:bookmarkEnd w:id="28"/>
      <w:bookmarkEnd w:id="29"/>
    </w:p>
    <w:tbl>
      <w:tblPr>
        <w:tblStyle w:val="15"/>
        <w:tblW w:w="8970" w:type="dxa"/>
        <w:tblInd w:w="93" w:type="dxa"/>
        <w:tblLayout w:type="fixed"/>
        <w:tblCellMar>
          <w:top w:w="0" w:type="dxa"/>
          <w:left w:w="108" w:type="dxa"/>
          <w:bottom w:w="0" w:type="dxa"/>
          <w:right w:w="108" w:type="dxa"/>
        </w:tblCellMar>
      </w:tblPr>
      <w:tblGrid>
        <w:gridCol w:w="602"/>
        <w:gridCol w:w="536"/>
        <w:gridCol w:w="1498"/>
        <w:gridCol w:w="781"/>
        <w:gridCol w:w="851"/>
        <w:gridCol w:w="709"/>
        <w:gridCol w:w="850"/>
        <w:gridCol w:w="498"/>
        <w:gridCol w:w="560"/>
        <w:gridCol w:w="470"/>
        <w:gridCol w:w="450"/>
        <w:gridCol w:w="560"/>
        <w:gridCol w:w="605"/>
      </w:tblGrid>
      <w:tr>
        <w:tblPrEx>
          <w:tblCellMar>
            <w:top w:w="0" w:type="dxa"/>
            <w:left w:w="108" w:type="dxa"/>
            <w:bottom w:w="0" w:type="dxa"/>
            <w:right w:w="108" w:type="dxa"/>
          </w:tblCellMar>
        </w:tblPrEx>
        <w:trPr>
          <w:trHeight w:val="720" w:hRule="atLeast"/>
        </w:trPr>
        <w:tc>
          <w:tcPr>
            <w:tcW w:w="8970" w:type="dxa"/>
            <w:gridSpan w:val="13"/>
            <w:noWrap/>
            <w:vAlign w:val="center"/>
          </w:tcPr>
          <w:p>
            <w:pPr>
              <w:widowControl/>
              <w:jc w:val="center"/>
              <w:textAlignment w:val="center"/>
              <w:rPr>
                <w:rFonts w:ascii="宋体" w:hAnsi="宋体" w:cs="宋体"/>
                <w:b/>
                <w:bCs/>
                <w:color w:val="000000"/>
                <w:sz w:val="28"/>
                <w:szCs w:val="28"/>
              </w:rPr>
            </w:pPr>
            <w:r>
              <w:rPr>
                <w:rFonts w:hint="eastAsia" w:ascii="仿宋_GB2312" w:eastAsia="仿宋_GB2312"/>
                <w:sz w:val="32"/>
                <w:szCs w:val="32"/>
                <w:lang w:val="zh-CN"/>
              </w:rPr>
              <w:t>港口机械运用与维修</w:t>
            </w:r>
            <w:r>
              <w:rPr>
                <w:rFonts w:hint="eastAsia" w:ascii="仿宋_GB2312" w:eastAsia="仿宋_GB2312"/>
                <w:sz w:val="32"/>
                <w:szCs w:val="32"/>
              </w:rPr>
              <w:t>专业课程设置与教学时间安排表（700306）</w:t>
            </w:r>
          </w:p>
        </w:tc>
      </w:tr>
      <w:tr>
        <w:tblPrEx>
          <w:tblCellMar>
            <w:top w:w="0" w:type="dxa"/>
            <w:left w:w="108" w:type="dxa"/>
            <w:bottom w:w="0" w:type="dxa"/>
            <w:right w:w="108" w:type="dxa"/>
          </w:tblCellMar>
        </w:tblPrEx>
        <w:trPr>
          <w:trHeight w:val="285" w:hRule="atLeast"/>
        </w:trPr>
        <w:tc>
          <w:tcPr>
            <w:tcW w:w="113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课程</w:t>
            </w:r>
          </w:p>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分类</w:t>
            </w:r>
          </w:p>
        </w:tc>
        <w:tc>
          <w:tcPr>
            <w:tcW w:w="149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课程名称</w:t>
            </w:r>
          </w:p>
        </w:tc>
        <w:tc>
          <w:tcPr>
            <w:tcW w:w="781"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课程</w:t>
            </w:r>
          </w:p>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性质</w:t>
            </w:r>
          </w:p>
        </w:tc>
        <w:tc>
          <w:tcPr>
            <w:tcW w:w="2410" w:type="dxa"/>
            <w:gridSpan w:val="3"/>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学时</w:t>
            </w:r>
          </w:p>
        </w:tc>
        <w:tc>
          <w:tcPr>
            <w:tcW w:w="3143" w:type="dxa"/>
            <w:gridSpan w:val="6"/>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各学期周数、学时分配</w:t>
            </w:r>
          </w:p>
        </w:tc>
      </w:tr>
      <w:tr>
        <w:tblPrEx>
          <w:tblCellMar>
            <w:top w:w="0" w:type="dxa"/>
            <w:left w:w="108" w:type="dxa"/>
            <w:bottom w:w="0" w:type="dxa"/>
            <w:right w:w="108" w:type="dxa"/>
          </w:tblCellMar>
        </w:tblPrEx>
        <w:trPr>
          <w:trHeight w:val="2372" w:hRule="atLeast"/>
        </w:trPr>
        <w:tc>
          <w:tcPr>
            <w:tcW w:w="113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781"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总学</w:t>
            </w:r>
          </w:p>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时</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理论</w:t>
            </w:r>
          </w:p>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学时</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实践</w:t>
            </w:r>
          </w:p>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学时</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5</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6</w:t>
            </w:r>
          </w:p>
        </w:tc>
      </w:tr>
      <w:tr>
        <w:tblPrEx>
          <w:tblCellMar>
            <w:top w:w="0" w:type="dxa"/>
            <w:left w:w="108" w:type="dxa"/>
            <w:bottom w:w="0" w:type="dxa"/>
            <w:right w:w="108" w:type="dxa"/>
          </w:tblCellMar>
        </w:tblPrEx>
        <w:trPr>
          <w:trHeight w:val="285" w:hRule="atLeast"/>
        </w:trPr>
        <w:tc>
          <w:tcPr>
            <w:tcW w:w="1138" w:type="dxa"/>
            <w:gridSpan w:val="2"/>
            <w:vMerge w:val="restart"/>
            <w:tcBorders>
              <w:top w:val="single" w:color="000000" w:sz="4" w:space="0"/>
              <w:left w:val="single" w:color="000000" w:sz="4" w:space="0"/>
              <w:right w:val="single" w:color="000000" w:sz="4" w:space="0"/>
            </w:tcBorders>
            <w:noWrap/>
            <w:textDirection w:val="tbRlV"/>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公共基础课</w:t>
            </w:r>
          </w:p>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中国特色社会主义</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26</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285"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心理健康与职业生涯</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26</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285"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职业道德与法治</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26</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285"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哲学与人生</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26</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语文</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198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98</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数学</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144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44</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英语</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144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44</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物理</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选修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45</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35</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化学</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选修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26</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历史</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52</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劳动教育</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18</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公共艺术</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36</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6</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30</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中华优秀传统文化</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8</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w:t>
            </w:r>
          </w:p>
        </w:tc>
        <w:tc>
          <w:tcPr>
            <w:tcW w:w="4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体育与</w:t>
            </w:r>
          </w:p>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健康</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144</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16</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128</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信息技术</w:t>
            </w:r>
          </w:p>
        </w:tc>
        <w:tc>
          <w:tcPr>
            <w:tcW w:w="78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108</w:t>
            </w:r>
          </w:p>
        </w:tc>
        <w:tc>
          <w:tcPr>
            <w:tcW w:w="709"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88</w:t>
            </w:r>
          </w:p>
        </w:tc>
        <w:tc>
          <w:tcPr>
            <w:tcW w:w="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1138" w:type="dxa"/>
            <w:gridSpan w:val="2"/>
            <w:vMerge w:val="continue"/>
            <w:tcBorders>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小计</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1107</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495</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612</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14</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17</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11</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14</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r>
      <w:tr>
        <w:tblPrEx>
          <w:tblCellMar>
            <w:top w:w="0" w:type="dxa"/>
            <w:left w:w="108" w:type="dxa"/>
            <w:bottom w:w="0" w:type="dxa"/>
            <w:right w:w="108" w:type="dxa"/>
          </w:tblCellMar>
        </w:tblPrEx>
        <w:trPr>
          <w:trHeight w:val="330" w:hRule="atLeast"/>
        </w:trPr>
        <w:tc>
          <w:tcPr>
            <w:tcW w:w="602"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专</w:t>
            </w:r>
          </w:p>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业</w:t>
            </w:r>
          </w:p>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课</w:t>
            </w:r>
          </w:p>
        </w:tc>
        <w:tc>
          <w:tcPr>
            <w:tcW w:w="536"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p>
            <w:pPr>
              <w:spacing w:line="400" w:lineRule="exact"/>
              <w:ind w:right="-94" w:rightChars="-45"/>
              <w:rPr>
                <w:rFonts w:ascii="仿宋_GB2312" w:eastAsia="仿宋_GB2312"/>
                <w:sz w:val="32"/>
                <w:szCs w:val="32"/>
              </w:rPr>
            </w:pPr>
            <w:r>
              <w:rPr>
                <w:rFonts w:hint="eastAsia" w:ascii="仿宋_GB2312" w:eastAsia="仿宋_GB2312"/>
                <w:sz w:val="32"/>
                <w:szCs w:val="32"/>
              </w:rPr>
              <w:t>专业基础课程</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电工电子技能</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108</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68</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6</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855"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机械制图</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42</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机械基础</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36</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36</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液压与液力传动</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42</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ATUOCAD机械制图</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42</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焊接技术</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12</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60</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PCL原理与自动化</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港口装卸工艺</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42</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交通法律法规</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p>
            <w:pPr>
              <w:spacing w:line="400" w:lineRule="exact"/>
              <w:ind w:right="-94" w:rightChars="-45"/>
              <w:rPr>
                <w:rFonts w:ascii="仿宋_GB2312" w:eastAsia="仿宋_GB2312"/>
                <w:sz w:val="32"/>
                <w:szCs w:val="32"/>
              </w:rPr>
            </w:pPr>
          </w:p>
          <w:p>
            <w:pPr>
              <w:spacing w:line="400" w:lineRule="exact"/>
              <w:ind w:right="-94" w:rightChars="-45"/>
              <w:rPr>
                <w:rFonts w:ascii="仿宋_GB2312" w:eastAsia="仿宋_GB2312"/>
                <w:sz w:val="32"/>
                <w:szCs w:val="32"/>
              </w:rPr>
            </w:pPr>
          </w:p>
          <w:p>
            <w:pPr>
              <w:spacing w:line="400" w:lineRule="exact"/>
              <w:ind w:right="-94" w:rightChars="-45"/>
              <w:rPr>
                <w:rFonts w:ascii="仿宋_GB2312" w:eastAsia="仿宋_GB2312"/>
                <w:sz w:val="32"/>
                <w:szCs w:val="32"/>
              </w:rPr>
            </w:pPr>
            <w:r>
              <w:rPr>
                <w:rFonts w:hint="eastAsia" w:ascii="仿宋_GB2312" w:eastAsia="仿宋_GB2312"/>
                <w:sz w:val="32"/>
                <w:szCs w:val="32"/>
              </w:rPr>
              <w:t>专业</w:t>
            </w:r>
          </w:p>
          <w:p>
            <w:pPr>
              <w:spacing w:line="400" w:lineRule="exact"/>
              <w:ind w:right="-94" w:rightChars="-45"/>
              <w:rPr>
                <w:rFonts w:ascii="仿宋_GB2312" w:eastAsia="仿宋_GB2312"/>
                <w:sz w:val="32"/>
                <w:szCs w:val="32"/>
              </w:rPr>
            </w:pPr>
            <w:r>
              <w:rPr>
                <w:rFonts w:hint="eastAsia" w:ascii="仿宋_GB2312" w:eastAsia="仿宋_GB2312"/>
                <w:sz w:val="32"/>
                <w:szCs w:val="32"/>
              </w:rPr>
              <w:t>核心</w:t>
            </w:r>
          </w:p>
          <w:p>
            <w:pPr>
              <w:spacing w:line="400" w:lineRule="exact"/>
              <w:ind w:right="-94" w:rightChars="-45"/>
              <w:rPr>
                <w:rFonts w:ascii="仿宋_GB2312" w:eastAsia="仿宋_GB2312"/>
                <w:sz w:val="32"/>
                <w:szCs w:val="32"/>
              </w:rPr>
            </w:pPr>
            <w:r>
              <w:rPr>
                <w:rFonts w:hint="eastAsia" w:ascii="仿宋_GB2312" w:eastAsia="仿宋_GB2312"/>
                <w:sz w:val="32"/>
                <w:szCs w:val="32"/>
              </w:rPr>
              <w:t>课程</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起重输送机械</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108</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108</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6</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搬运车辆（叉车运行与维护）</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216</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46</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170</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6</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6</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搬运车辆（装载机运行与维护）</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144</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104</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搬运车辆（挖掘机运行与维护）</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288</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46</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242</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8</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8</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744"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港机修理</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72</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884"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内燃机构造与维修</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108</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68</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6</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小计</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1520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380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1198</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16</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28</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22</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ind w:right="-94" w:rightChars="-45"/>
              <w:rPr>
                <w:rFonts w:ascii="仿宋_GB2312" w:eastAsia="仿宋_GB2312"/>
                <w:sz w:val="32"/>
                <w:szCs w:val="32"/>
              </w:rPr>
            </w:pPr>
            <w:r>
              <w:rPr>
                <w:rFonts w:hint="eastAsia" w:ascii="仿宋_GB2312" w:eastAsia="仿宋_GB2312"/>
                <w:sz w:val="32"/>
                <w:szCs w:val="32"/>
              </w:rPr>
              <w:t>综合实</w:t>
            </w:r>
          </w:p>
          <w:p>
            <w:pPr>
              <w:spacing w:line="400" w:lineRule="exact"/>
              <w:ind w:right="-94" w:rightChars="-45"/>
              <w:rPr>
                <w:rFonts w:ascii="仿宋_GB2312" w:eastAsia="仿宋_GB2312"/>
                <w:sz w:val="32"/>
                <w:szCs w:val="32"/>
              </w:rPr>
            </w:pPr>
            <w:r>
              <w:rPr>
                <w:rFonts w:hint="eastAsia" w:ascii="仿宋_GB2312" w:eastAsia="仿宋_GB2312"/>
                <w:sz w:val="32"/>
                <w:szCs w:val="32"/>
              </w:rPr>
              <w:t>训课程</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跟岗实习</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500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500</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20周</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顶岗实习</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必修</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500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500</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20周</w:t>
            </w:r>
          </w:p>
        </w:tc>
      </w:tr>
      <w:tr>
        <w:tblPrEx>
          <w:tblCellMar>
            <w:top w:w="0" w:type="dxa"/>
            <w:left w:w="108" w:type="dxa"/>
            <w:bottom w:w="0" w:type="dxa"/>
            <w:right w:w="108" w:type="dxa"/>
          </w:tblCellMar>
        </w:tblPrEx>
        <w:trPr>
          <w:trHeight w:val="330"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left="139" w:leftChars="-45" w:right="-94" w:rightChars="-45" w:hanging="233" w:hangingChars="73"/>
              <w:jc w:val="center"/>
              <w:rPr>
                <w:rFonts w:ascii="仿宋_GB2312" w:eastAsia="仿宋_GB2312"/>
                <w:sz w:val="32"/>
                <w:szCs w:val="32"/>
              </w:rPr>
            </w:pPr>
          </w:p>
        </w:tc>
        <w:tc>
          <w:tcPr>
            <w:tcW w:w="1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小计</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1000</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1000</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r>
        <w:tblPrEx>
          <w:tblCellMar>
            <w:top w:w="0" w:type="dxa"/>
            <w:left w:w="108" w:type="dxa"/>
            <w:bottom w:w="0" w:type="dxa"/>
            <w:right w:w="108" w:type="dxa"/>
          </w:tblCellMar>
        </w:tblPrEx>
        <w:trPr>
          <w:trHeight w:val="330" w:hRule="atLeast"/>
        </w:trPr>
        <w:tc>
          <w:tcPr>
            <w:tcW w:w="2636" w:type="dxa"/>
            <w:gridSpan w:val="3"/>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合计</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3627</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875</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2810</w:t>
            </w:r>
          </w:p>
        </w:tc>
        <w:tc>
          <w:tcPr>
            <w:tcW w:w="49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30</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45</w:t>
            </w:r>
          </w:p>
        </w:tc>
        <w:tc>
          <w:tcPr>
            <w:tcW w:w="47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43</w:t>
            </w:r>
          </w:p>
        </w:tc>
        <w:tc>
          <w:tcPr>
            <w:tcW w:w="45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r>
              <w:rPr>
                <w:rFonts w:hint="eastAsia" w:ascii="仿宋_GB2312" w:eastAsia="仿宋_GB2312"/>
                <w:sz w:val="32"/>
                <w:szCs w:val="32"/>
              </w:rPr>
              <w:t>34</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c>
          <w:tcPr>
            <w:tcW w:w="605"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left="139" w:leftChars="-45" w:right="-94" w:rightChars="-45" w:hanging="233" w:hangingChars="73"/>
              <w:jc w:val="center"/>
              <w:rPr>
                <w:rFonts w:ascii="仿宋_GB2312" w:eastAsia="仿宋_GB2312"/>
                <w:sz w:val="32"/>
                <w:szCs w:val="32"/>
              </w:rPr>
            </w:pPr>
          </w:p>
        </w:tc>
      </w:tr>
    </w:tbl>
    <w:p>
      <w:pPr>
        <w:pStyle w:val="31"/>
        <w:spacing w:line="240" w:lineRule="auto"/>
        <w:ind w:firstLine="0" w:firstLineChars="0"/>
      </w:pPr>
    </w:p>
    <w:bookmarkEnd w:id="25"/>
    <w:p>
      <w:pPr>
        <w:pStyle w:val="30"/>
        <w:spacing w:before="0" w:line="560" w:lineRule="exact"/>
        <w:ind w:left="0" w:firstLine="643" w:firstLineChars="200"/>
        <w:outlineLvl w:val="0"/>
        <w:rPr>
          <w:rFonts w:ascii="黑体" w:hAnsi="黑体" w:eastAsia="黑体"/>
          <w:b/>
          <w:sz w:val="32"/>
          <w:szCs w:val="32"/>
        </w:rPr>
      </w:pPr>
      <w:bookmarkStart w:id="30" w:name="_Toc5296"/>
      <w:r>
        <w:rPr>
          <w:rFonts w:hint="eastAsia" w:ascii="黑体" w:hAnsi="黑体" w:eastAsia="黑体"/>
          <w:b/>
          <w:sz w:val="32"/>
          <w:szCs w:val="32"/>
        </w:rPr>
        <w:t>八、实施保障</w:t>
      </w:r>
      <w:bookmarkEnd w:id="30"/>
    </w:p>
    <w:p>
      <w:pPr>
        <w:pStyle w:val="3"/>
        <w:keepNext w:val="0"/>
        <w:spacing w:line="360" w:lineRule="auto"/>
        <w:ind w:firstLine="643"/>
        <w:rPr>
          <w:rFonts w:ascii="楷体_GB2312" w:hAnsi="仿宋_GB2312" w:eastAsia="楷体_GB2312" w:cs="仿宋_GB2312"/>
          <w:b/>
          <w:bCs w:val="0"/>
          <w:sz w:val="32"/>
        </w:rPr>
      </w:pPr>
      <w:bookmarkStart w:id="31" w:name="_Toc30"/>
      <w:r>
        <w:rPr>
          <w:rFonts w:hint="eastAsia" w:ascii="楷体_GB2312" w:hAnsi="仿宋_GB2312" w:eastAsia="楷体_GB2312" w:cs="仿宋_GB2312"/>
          <w:b/>
          <w:bCs w:val="0"/>
          <w:sz w:val="32"/>
        </w:rPr>
        <w:t>（一）师资队伍</w:t>
      </w:r>
      <w:bookmarkEnd w:id="31"/>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根据教育部颁布的《中等职业学校教师专业标准》和《中等职业学校设置标准》的有关规定，进行教师队伍建设，合理配置教师资源。专业教师学历职称合理，配备具有专业技术职务的专任教师；建立“双师型”专业教师团队，其中“双师型”教师不低于30%；有业务水平较高的专业带头人。</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港口机械运用与维修专业教师要求一览表</w:t>
      </w:r>
    </w:p>
    <w:tbl>
      <w:tblPr>
        <w:tblStyle w:val="16"/>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894"/>
        <w:gridCol w:w="4678"/>
        <w:gridCol w:w="2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48"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894"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类别</w:t>
            </w:r>
          </w:p>
        </w:tc>
        <w:tc>
          <w:tcPr>
            <w:tcW w:w="4678"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任职条件</w:t>
            </w:r>
          </w:p>
        </w:tc>
        <w:tc>
          <w:tcPr>
            <w:tcW w:w="2957"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648"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894" w:type="dxa"/>
          </w:tcPr>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专业</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带头人</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tc>
        <w:tc>
          <w:tcPr>
            <w:tcW w:w="4678"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1.成为行业领军人和专业建设的龙头，能够协调行业企业发展与专业建设关系，促进校企合作顺利进行；</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2.具备中职教育认知能力、专业发展方向把握能力、课程开发能力、教研教改能力、应用技术研发能力、组织协调能力；</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3.能够指导骨干教师完成专业建设方面的工作；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4.把握行业最新发展趋势，制订专业发展规划；</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5.牵引专业核心课程开发和建设;</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6.具有中级以上职称；</w:t>
            </w:r>
          </w:p>
        </w:tc>
        <w:tc>
          <w:tcPr>
            <w:tcW w:w="2957"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1.具备有专业建设新理念、掌握新技术、新工艺的能力；</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2.在提高教学教研水平、培养骨干教师、课程开发、人才培养与专业建设等方面的具有带头能力；</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3.能够指导专业的建设,促进人才培养质量的不断提高；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48"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894" w:type="dxa"/>
          </w:tcPr>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专业教师</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tc>
        <w:tc>
          <w:tcPr>
            <w:tcW w:w="4678"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1.具备较强的教科研能力，获得讲师以上教师职称，达到“双师”素质；</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2.具备加强专业建设和社会服务能力，促进校企合作；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3.具备加强企业锻炼，提高实践经验和生产组织与管理能力；</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4.具有核心课程开发与建设能力；</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5.具有先进的中职教育理念、教学模式与教学方法改革能力；</w:t>
            </w:r>
          </w:p>
        </w:tc>
        <w:tc>
          <w:tcPr>
            <w:tcW w:w="2957"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1.具有港口机械运用与维修专业理论和实操经验，能承担专业核心课程教学；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2.具有扎实的专业基础和实践能力；</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3.具有较强的教改能力；</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4.具有指导学生参加职业技能大赛的能力；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648"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894"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“双师”型教师</w:t>
            </w:r>
          </w:p>
          <w:p>
            <w:pPr>
              <w:spacing w:line="560" w:lineRule="exact"/>
              <w:rPr>
                <w:rFonts w:ascii="仿宋_GB2312" w:hAnsi="仿宋_GB2312" w:eastAsia="仿宋_GB2312" w:cs="仿宋_GB2312"/>
                <w:sz w:val="32"/>
                <w:szCs w:val="32"/>
              </w:rPr>
            </w:pPr>
          </w:p>
        </w:tc>
        <w:tc>
          <w:tcPr>
            <w:tcW w:w="4678"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1.考取中级以上职业技能证书；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2.参与专业建设和社会服务,促进校企合作；</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3.参与企业挂职锻炼，提高工程实践经验和生产组织与管理能力；</w:t>
            </w:r>
          </w:p>
        </w:tc>
        <w:tc>
          <w:tcPr>
            <w:tcW w:w="2957"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1.具有港口机械运用与维修专业理论和实操经验，能承担专业核心课程教学；</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2.积极参与课程建设，能配合骨干教师进行教改或课程开发；</w:t>
            </w: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专业师资配置。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有中职教师资格证书，学历合格,并具有港口机械运用与维修专业中级或中级以上的职业资格等级证书。具备良好的师德和终身学习能力，具有本专业领域系统、扎实的理论知识和较强的实践动手能力，适应产业行业发展需求，熟悉港口机械相关企业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具有一定中职教育理念，掌握行动导向的理实一体化教学方法及其它职业教育教学方法，能正确地分析、设计、实施和评价教学，具有团队协作精神和处理相关公共关系的能力。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积极开展教研和科研活动，与港口机械相关企业联系密切，具有较强的专业研究和课程开发能力。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专业教师的数量，具有中级以上职称的人数不低于50%，“双 师型”教师占专业课和实习指导课教师的70%以上，应有业务水平较高的专业带头人1人以上。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业设置课程中的60%以上授课任务，由经过相关专业系统培训、具有中级及以上职称和一定实践经验的专职教师承担。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有一定数量、相对稳定的兼职专业教师。兼职专业教师应具有大专以上文化程度和中级以上职称，从事与本专业相关的实践工作5年以上。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专业教师每年应到汽车维修、港口机械行业企业进行年均一个月的专业实践。</w:t>
      </w:r>
    </w:p>
    <w:p>
      <w:pPr>
        <w:spacing w:beforeLines="50" w:afterLines="50" w:line="560" w:lineRule="exact"/>
        <w:ind w:firstLine="643" w:firstLineChars="200"/>
        <w:outlineLvl w:val="1"/>
        <w:rPr>
          <w:rFonts w:ascii="楷体_GB2312" w:hAnsi="仿宋_GB2312" w:eastAsia="楷体_GB2312" w:cs="仿宋_GB2312"/>
          <w:b/>
          <w:sz w:val="32"/>
          <w:szCs w:val="32"/>
        </w:rPr>
      </w:pPr>
      <w:bookmarkStart w:id="32" w:name="_Toc15782"/>
      <w:r>
        <w:rPr>
          <w:rFonts w:hint="eastAsia" w:ascii="楷体_GB2312" w:hAnsi="仿宋_GB2312" w:eastAsia="楷体_GB2312" w:cs="仿宋_GB2312"/>
          <w:b/>
          <w:sz w:val="32"/>
          <w:szCs w:val="32"/>
        </w:rPr>
        <w:t>（二）教学设施</w:t>
      </w:r>
      <w:bookmarkEnd w:id="32"/>
    </w:p>
    <w:p>
      <w:pPr>
        <w:spacing w:beforeLines="50" w:afterLines="50" w:line="560" w:lineRule="exact"/>
        <w:ind w:firstLine="640" w:firstLineChars="200"/>
        <w:outlineLvl w:val="1"/>
        <w:rPr>
          <w:rFonts w:hint="eastAsia" w:ascii="仿宋" w:hAnsi="仿宋" w:eastAsia="仿宋" w:cs="仿宋"/>
          <w:b w:val="0"/>
          <w:bCs/>
          <w:sz w:val="32"/>
          <w:szCs w:val="32"/>
        </w:rPr>
      </w:pPr>
      <w:r>
        <w:rPr>
          <w:rFonts w:hint="eastAsia" w:ascii="仿宋" w:hAnsi="仿宋" w:eastAsia="仿宋" w:cs="仿宋"/>
          <w:b w:val="0"/>
          <w:bCs/>
          <w:sz w:val="32"/>
          <w:szCs w:val="32"/>
        </w:rPr>
        <w:t>1.校内实训条件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目前学校设有港口机械运用与维修实训基地建筑面积1200㎡，配置柴油发动机拆装实训室、液压实训室、港口机械模拟驾驶实训室、叉车实训场等主要设备，总值480万元，实训开出率约78%。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校内实训条件一览表：</w:t>
      </w:r>
    </w:p>
    <w:tbl>
      <w:tblPr>
        <w:tblStyle w:val="15"/>
        <w:tblW w:w="80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690"/>
        <w:gridCol w:w="2020"/>
        <w:gridCol w:w="3025"/>
        <w:gridCol w:w="1275"/>
        <w:gridCol w:w="9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28" w:hRule="atLeast"/>
          <w:jc w:val="center"/>
        </w:trPr>
        <w:tc>
          <w:tcPr>
            <w:tcW w:w="690" w:type="dxa"/>
            <w:vAlign w:val="center"/>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2020" w:type="dxa"/>
            <w:vAlign w:val="center"/>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实训室名称</w:t>
            </w:r>
          </w:p>
        </w:tc>
        <w:tc>
          <w:tcPr>
            <w:tcW w:w="3025" w:type="dxa"/>
            <w:vAlign w:val="center"/>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主要功能</w:t>
            </w:r>
          </w:p>
        </w:tc>
        <w:tc>
          <w:tcPr>
            <w:tcW w:w="1275" w:type="dxa"/>
            <w:vAlign w:val="center"/>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建筑面积 (㎡)</w:t>
            </w:r>
          </w:p>
        </w:tc>
        <w:tc>
          <w:tcPr>
            <w:tcW w:w="993" w:type="dxa"/>
            <w:vAlign w:val="center"/>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工位数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02" w:hRule="atLeast"/>
          <w:jc w:val="center"/>
        </w:trPr>
        <w:tc>
          <w:tcPr>
            <w:tcW w:w="690"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2020"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柴油发动机拆装</w:t>
            </w:r>
          </w:p>
        </w:tc>
        <w:tc>
          <w:tcPr>
            <w:tcW w:w="3025"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1.柴油机外部各功能的认识</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2柴油发动机零件拆装与检测</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3.柴油发动机各系统的装配</w:t>
            </w:r>
          </w:p>
          <w:p>
            <w:pPr>
              <w:spacing w:line="560" w:lineRule="exact"/>
              <w:ind w:firstLine="640" w:firstLineChars="200"/>
              <w:jc w:val="center"/>
              <w:rPr>
                <w:rFonts w:ascii="仿宋_GB2312" w:hAnsi="仿宋_GB2312" w:eastAsia="仿宋_GB2312" w:cs="仿宋_GB2312"/>
                <w:sz w:val="32"/>
                <w:szCs w:val="32"/>
              </w:rPr>
            </w:pPr>
          </w:p>
        </w:tc>
        <w:tc>
          <w:tcPr>
            <w:tcW w:w="1275"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120</w:t>
            </w:r>
          </w:p>
        </w:tc>
        <w:tc>
          <w:tcPr>
            <w:tcW w:w="993"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1613" w:hRule="atLeast"/>
          <w:jc w:val="center"/>
        </w:trPr>
        <w:tc>
          <w:tcPr>
            <w:tcW w:w="690"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22</w:t>
            </w:r>
          </w:p>
        </w:tc>
        <w:tc>
          <w:tcPr>
            <w:tcW w:w="2020"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液压与气动传动</w:t>
            </w:r>
          </w:p>
        </w:tc>
        <w:tc>
          <w:tcPr>
            <w:tcW w:w="3025"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1.常用液压、气压元件、使用与维护</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2.管路的连接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3.常见液压、气压的元件安装</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4.常用液压气动图</w:t>
            </w:r>
          </w:p>
        </w:tc>
        <w:tc>
          <w:tcPr>
            <w:tcW w:w="1275"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80</w:t>
            </w:r>
          </w:p>
        </w:tc>
        <w:tc>
          <w:tcPr>
            <w:tcW w:w="993"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690"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33</w:t>
            </w:r>
          </w:p>
        </w:tc>
        <w:tc>
          <w:tcPr>
            <w:tcW w:w="2020"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港口机械模拟驾驶</w:t>
            </w:r>
          </w:p>
        </w:tc>
        <w:tc>
          <w:tcPr>
            <w:tcW w:w="3025"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1.叉车模拟驾驶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2.挖掘机模拟驾驶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3.装载机模拟驾驶</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4.起重机模拟驾驶</w:t>
            </w:r>
          </w:p>
        </w:tc>
        <w:tc>
          <w:tcPr>
            <w:tcW w:w="1275"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200</w:t>
            </w:r>
          </w:p>
        </w:tc>
        <w:tc>
          <w:tcPr>
            <w:tcW w:w="993"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690"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44</w:t>
            </w:r>
          </w:p>
        </w:tc>
        <w:tc>
          <w:tcPr>
            <w:tcW w:w="2020"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机械基础</w:t>
            </w:r>
          </w:p>
        </w:tc>
        <w:tc>
          <w:tcPr>
            <w:tcW w:w="3025"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1.常见机械元件安装与实验</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2.常见液压元件演示实验</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3机械传动演示实验</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4.机械齿轮传动演示</w:t>
            </w:r>
          </w:p>
        </w:tc>
        <w:tc>
          <w:tcPr>
            <w:tcW w:w="1275"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200</w:t>
            </w:r>
          </w:p>
        </w:tc>
        <w:tc>
          <w:tcPr>
            <w:tcW w:w="993"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690"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55</w:t>
            </w:r>
          </w:p>
        </w:tc>
        <w:tc>
          <w:tcPr>
            <w:tcW w:w="2020"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叉车实训场</w:t>
            </w:r>
          </w:p>
        </w:tc>
        <w:tc>
          <w:tcPr>
            <w:tcW w:w="3025"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叉车驾驶作业</w:t>
            </w:r>
          </w:p>
        </w:tc>
        <w:tc>
          <w:tcPr>
            <w:tcW w:w="1275"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400</w:t>
            </w:r>
          </w:p>
        </w:tc>
        <w:tc>
          <w:tcPr>
            <w:tcW w:w="993"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690" w:type="dxa"/>
            <w:vAlign w:val="center"/>
          </w:tcPr>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2020"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装载机实训场</w:t>
            </w:r>
          </w:p>
        </w:tc>
        <w:tc>
          <w:tcPr>
            <w:tcW w:w="3025"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装载机驾驶作业</w:t>
            </w:r>
          </w:p>
        </w:tc>
        <w:tc>
          <w:tcPr>
            <w:tcW w:w="1275"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600</w:t>
            </w:r>
          </w:p>
        </w:tc>
        <w:tc>
          <w:tcPr>
            <w:tcW w:w="993"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690" w:type="dxa"/>
            <w:vAlign w:val="center"/>
          </w:tcPr>
          <w:p>
            <w:pPr>
              <w:spacing w:line="56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2020"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挖掘机实训场</w:t>
            </w:r>
          </w:p>
        </w:tc>
        <w:tc>
          <w:tcPr>
            <w:tcW w:w="3025" w:type="dxa"/>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挖掘机驾驶作业</w:t>
            </w:r>
          </w:p>
        </w:tc>
        <w:tc>
          <w:tcPr>
            <w:tcW w:w="1275"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500</w:t>
            </w:r>
          </w:p>
        </w:tc>
        <w:tc>
          <w:tcPr>
            <w:tcW w:w="993" w:type="dxa"/>
            <w:vAlign w:val="center"/>
          </w:tcPr>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40</w:t>
            </w:r>
          </w:p>
        </w:tc>
      </w:tr>
    </w:tbl>
    <w:p>
      <w:pPr>
        <w:spacing w:line="360" w:lineRule="auto"/>
        <w:ind w:firstLine="640" w:firstLineChars="200"/>
        <w:jc w:val="left"/>
        <w:rPr>
          <w:rFonts w:ascii="仿宋_GB2312" w:hAnsi="仿宋_GB2312" w:eastAsia="仿宋_GB2312" w:cs="仿宋_GB2312"/>
          <w:sz w:val="32"/>
          <w:szCs w:val="32"/>
        </w:rPr>
      </w:pPr>
    </w:p>
    <w:p>
      <w:pPr>
        <w:spacing w:line="360" w:lineRule="auto"/>
        <w:ind w:firstLine="640" w:firstLineChars="200"/>
        <w:jc w:val="left"/>
        <w:rPr>
          <w:rFonts w:ascii="宋体" w:hAnsi="宋体"/>
          <w:sz w:val="28"/>
          <w:szCs w:val="28"/>
        </w:rPr>
      </w:pPr>
      <w:r>
        <w:rPr>
          <w:rFonts w:hint="eastAsia" w:ascii="仿宋_GB2312" w:hAnsi="仿宋_GB2312" w:eastAsia="仿宋_GB2312" w:cs="仿宋_GB2312"/>
          <w:sz w:val="32"/>
          <w:szCs w:val="32"/>
        </w:rPr>
        <w:t>为保障本方案的顺利实施，还需要继续完善实训实习环境，实习实训环境需要具备实训、教研及展示等多项功能、理实一体化教学功能。</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2.校外实训条件</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先后与防城港市聚力劳务公司、 防城港市港务集团等企业合作，建立了相对稳定的校外实训基地，能满足学生实习（训）需求。</w:t>
      </w:r>
    </w:p>
    <w:p>
      <w:pPr>
        <w:pStyle w:val="3"/>
        <w:keepNext w:val="0"/>
        <w:spacing w:line="360" w:lineRule="auto"/>
        <w:ind w:firstLine="643"/>
        <w:rPr>
          <w:rFonts w:ascii="楷体_GB2312" w:hAnsi="仿宋_GB2312" w:eastAsia="楷体_GB2312" w:cs="仿宋_GB2312"/>
          <w:b/>
          <w:bCs w:val="0"/>
          <w:sz w:val="32"/>
        </w:rPr>
      </w:pPr>
      <w:bookmarkStart w:id="33" w:name="_Toc2500"/>
      <w:r>
        <w:rPr>
          <w:rFonts w:hint="eastAsia" w:ascii="楷体_GB2312" w:hAnsi="仿宋_GB2312" w:eastAsia="楷体_GB2312" w:cs="仿宋_GB2312"/>
          <w:b/>
          <w:bCs w:val="0"/>
          <w:sz w:val="32"/>
        </w:rPr>
        <w:t>（三）教学资源</w:t>
      </w:r>
      <w:bookmarkEnd w:id="33"/>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学校在信息化发展过程中，硬件建设已经实现所有班级安装上了投影、电子白板等多媒体教学设备。</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了深化应用，提升应用效果和水平，提高教学的效率和教学质量提供有利条件，本专业逐步完善教育资源共享，通过学校的资源平台，将更多老师或校外的教育资源纳入学校的教育资源系统，解决资源分散问题，提高数字化资源的共享程度。</w:t>
      </w:r>
    </w:p>
    <w:p>
      <w:pPr>
        <w:pStyle w:val="3"/>
        <w:keepNext w:val="0"/>
        <w:spacing w:line="360" w:lineRule="auto"/>
        <w:ind w:firstLine="643"/>
        <w:rPr>
          <w:rFonts w:ascii="楷体_GB2312" w:hAnsi="仿宋_GB2312" w:eastAsia="楷体_GB2312" w:cs="仿宋_GB2312"/>
          <w:b/>
          <w:bCs w:val="0"/>
          <w:sz w:val="32"/>
        </w:rPr>
      </w:pPr>
      <w:bookmarkStart w:id="34" w:name="_Toc19128"/>
      <w:r>
        <w:rPr>
          <w:rFonts w:hint="eastAsia" w:ascii="楷体_GB2312" w:hAnsi="仿宋_GB2312" w:eastAsia="楷体_GB2312" w:cs="仿宋_GB2312"/>
          <w:b/>
          <w:bCs w:val="0"/>
          <w:sz w:val="32"/>
        </w:rPr>
        <w:t>（四）教学方法</w:t>
      </w:r>
      <w:bookmarkEnd w:id="34"/>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积极改革教学方法，采用“任务驱动法”、“理实一体化教学方法”等切实提高课堂教学质量。积极探索“岗位工作过程化”的项目教学模式，围绕岗位实际操作工作流程，以一个全真的职业环境，分组进行角色、岗位演练，让学生在做中学，学中做，体验探索学习的过程，感受成功喜悦，让学生通过完成项目任务获取新知识、掌握新技能，训练学生业务操作能力，培养学生适应岗位能力，达到学以致用目的。</w:t>
      </w:r>
    </w:p>
    <w:p>
      <w:pPr>
        <w:pStyle w:val="3"/>
        <w:keepNext w:val="0"/>
        <w:spacing w:line="360" w:lineRule="auto"/>
        <w:ind w:firstLine="643"/>
        <w:rPr>
          <w:rFonts w:ascii="楷体_GB2312" w:hAnsi="仿宋_GB2312" w:eastAsia="楷体_GB2312" w:cs="仿宋_GB2312"/>
          <w:b/>
          <w:bCs w:val="0"/>
          <w:sz w:val="32"/>
        </w:rPr>
      </w:pPr>
      <w:bookmarkStart w:id="35" w:name="_Toc15778"/>
      <w:r>
        <w:rPr>
          <w:rFonts w:hint="eastAsia" w:ascii="楷体_GB2312" w:hAnsi="仿宋_GB2312" w:eastAsia="楷体_GB2312" w:cs="仿宋_GB2312"/>
          <w:b/>
          <w:bCs w:val="0"/>
          <w:sz w:val="32"/>
        </w:rPr>
        <w:t>（五）学习评价</w:t>
      </w:r>
      <w:bookmarkEnd w:id="35"/>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积极推进教学质量评价改革，突出能力考核评价方式，建立体现评价主体、评价方式、评价过程的多元化评价体系，积极吸纳企业参与学生的考核评价，通过多样式的考核方式，实现对学生专业技能和职业素养的综合评价，激发学生自主性学习，鼓励学生的个性发展以及培养其创新意识和创造能力。</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1.评价主体多元化</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由单一的教师评价转化为学生自评、组员互评、教师评价、企业评价等。</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2.评价方式多元化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由单一的考试评价转化为笔试、实践技能考核、职业资格鉴定、技能竞赛等多种方式相结合。由注重终结性评价转变为过程评价和终结性评价相结合，注重实践性引导，过程评价以鼓励为主。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（1）笔试：适用于理论性比较强的课程。考核成绩采用百分制，该门课程不合格，不能取得相应学分。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（2）实践技能考核：适用于实践性比较强的课程。实践技能考核应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根据教学目标要求，确定主要考核项目。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（3）项目实施技能考核：综合实训主要是通过项目开展的，考核旨在评价学生综合专业技能掌握的情况及工作态度及团队合作能力，因而通常采取项目实施过程考核与实践技能考核相结合进行综合评价。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（4）岗位绩效考核：在企业中开设的课程，如顶岗实习等，由企业与学校进行共同考核，企业考核主要以企业对学生的岗位工作执行情况进行绩效考核。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（5）职业资格技能鉴定：本专业引入了职业资格鉴定来评价学生的职业能力，学生参加职业资格认证考核，获得的认证作为学生评价标准。</w:t>
      </w:r>
    </w:p>
    <w:p>
      <w:pPr>
        <w:spacing w:line="560" w:lineRule="exact"/>
        <w:ind w:firstLine="640" w:firstLineChars="200"/>
        <w:rPr>
          <w:rFonts w:ascii="宋体" w:hAnsi="宋体"/>
          <w:sz w:val="28"/>
          <w:szCs w:val="28"/>
        </w:rPr>
      </w:pPr>
      <w:r>
        <w:rPr>
          <w:rFonts w:hint="eastAsia" w:ascii="仿宋_GB2312" w:hAnsi="仿宋_GB2312" w:eastAsia="仿宋_GB2312" w:cs="仿宋_GB2312"/>
          <w:sz w:val="32"/>
          <w:szCs w:val="32"/>
        </w:rPr>
        <w:t>（6）技能竞赛：积极参加广西区、防城港市及学校组织的各项专业技能竞赛，根据竞赛所取得的成绩作为学生评价标准</w:t>
      </w:r>
      <w:r>
        <w:rPr>
          <w:rFonts w:hint="eastAsia" w:ascii="宋体" w:hAnsi="宋体"/>
          <w:sz w:val="28"/>
          <w:szCs w:val="28"/>
        </w:rPr>
        <w:t>。</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3.评价内容多元化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应该由原先只注重知识评价的局面转变为知识、技能、态度并重。特别指出，态度评价应引导学生形成良好的职业精神。</w:t>
      </w:r>
    </w:p>
    <w:p>
      <w:pPr>
        <w:pStyle w:val="3"/>
        <w:spacing w:line="360" w:lineRule="auto"/>
        <w:ind w:firstLine="643"/>
        <w:rPr>
          <w:b/>
          <w:sz w:val="32"/>
        </w:rPr>
      </w:pPr>
      <w:bookmarkStart w:id="36" w:name="_Toc52109564"/>
      <w:bookmarkStart w:id="37" w:name="_Toc4736"/>
      <w:r>
        <w:rPr>
          <w:rFonts w:hint="eastAsia"/>
          <w:b/>
          <w:sz w:val="32"/>
        </w:rPr>
        <w:t>（六）质量管理</w:t>
      </w:r>
      <w:bookmarkEnd w:id="36"/>
      <w:bookmarkEnd w:id="37"/>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1.建成监控与保障制度</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2.建立与完善教学质量标准体系</w:t>
      </w:r>
    </w:p>
    <w:p>
      <w:pPr>
        <w:spacing w:line="560" w:lineRule="exact"/>
        <w:ind w:firstLine="640" w:firstLineChars="20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3.构建质量动态监控系统</w:t>
      </w:r>
    </w:p>
    <w:p>
      <w:pPr>
        <w:spacing w:line="560" w:lineRule="exact"/>
        <w:ind w:firstLine="640" w:firstLineChars="200"/>
        <w:rPr>
          <w:rFonts w:ascii="宋体" w:hAnsi="宋体"/>
          <w:b w:val="0"/>
          <w:bCs w:val="0"/>
          <w:sz w:val="28"/>
          <w:szCs w:val="28"/>
        </w:rPr>
      </w:pPr>
      <w:r>
        <w:rPr>
          <w:rFonts w:hint="eastAsia" w:ascii="仿宋_GB2312" w:hAnsi="仿宋_GB2312" w:eastAsia="仿宋_GB2312" w:cs="仿宋_GB2312"/>
          <w:b w:val="0"/>
          <w:bCs w:val="0"/>
          <w:sz w:val="32"/>
          <w:szCs w:val="32"/>
        </w:rPr>
        <w:t>4.与行业企业共建人才质量培养评价体系</w:t>
      </w:r>
    </w:p>
    <w:p>
      <w:pPr>
        <w:pStyle w:val="2"/>
        <w:spacing w:before="340" w:after="0" w:line="360" w:lineRule="auto"/>
        <w:ind w:firstLine="640" w:firstLineChars="200"/>
        <w:jc w:val="left"/>
        <w:rPr>
          <w:rFonts w:ascii="黑体" w:hAnsi="仿宋_GB2312" w:eastAsia="黑体" w:cs="仿宋_GB2312"/>
          <w:bCs w:val="0"/>
          <w:kern w:val="2"/>
          <w:sz w:val="32"/>
          <w:szCs w:val="32"/>
        </w:rPr>
      </w:pPr>
      <w:bookmarkStart w:id="38" w:name="_Toc24133"/>
      <w:r>
        <w:rPr>
          <w:rFonts w:hint="eastAsia" w:ascii="黑体" w:hAnsi="仿宋_GB2312" w:eastAsia="黑体" w:cs="仿宋_GB2312"/>
          <w:bCs w:val="0"/>
          <w:kern w:val="2"/>
          <w:sz w:val="32"/>
          <w:szCs w:val="32"/>
        </w:rPr>
        <w:t>九、毕业要求</w:t>
      </w:r>
      <w:bookmarkEnd w:id="3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思想品德评价合格。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修满教学计划规定的全部课程且成绩合格，或修满规定学分。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顶岗实习或工学交替实习鉴定合格。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在校期间取得相应的技能证书。</w:t>
      </w:r>
      <w:bookmarkStart w:id="39" w:name="_Toc25161"/>
    </w:p>
    <w:p>
      <w:pPr>
        <w:spacing w:line="560" w:lineRule="exact"/>
        <w:ind w:firstLine="640" w:firstLineChars="200"/>
        <w:rPr>
          <w:rFonts w:hint="eastAsia" w:ascii="黑体" w:hAnsi="黑体" w:eastAsia="黑体" w:cs="Calibri"/>
          <w:bCs/>
          <w:sz w:val="32"/>
          <w:szCs w:val="32"/>
          <w:lang w:eastAsia="zh-CN"/>
        </w:rPr>
      </w:pPr>
      <w:r>
        <w:rPr>
          <w:rFonts w:hint="eastAsia" w:ascii="黑体" w:hAnsi="黑体" w:eastAsia="黑体" w:cs="Calibri"/>
          <w:bCs/>
          <w:sz w:val="32"/>
          <w:szCs w:val="32"/>
        </w:rPr>
        <w:t>十、附录</w:t>
      </w:r>
      <w:bookmarkEnd w:id="39"/>
      <w:r>
        <w:rPr>
          <w:rFonts w:hint="eastAsia" w:ascii="黑体" w:hAnsi="黑体" w:eastAsia="黑体" w:cs="Calibri"/>
          <w:bCs/>
          <w:sz w:val="32"/>
          <w:szCs w:val="32"/>
          <w:lang w:eastAsia="zh-CN"/>
        </w:rPr>
        <w:t>（略）</w:t>
      </w:r>
      <w:bookmarkStart w:id="40" w:name="_GoBack"/>
      <w:bookmarkEnd w:id="40"/>
    </w:p>
    <w:p>
      <w:pPr>
        <w:spacing w:line="560" w:lineRule="exact"/>
        <w:ind w:firstLine="640" w:firstLineChars="200"/>
        <w:jc w:val="right"/>
        <w:rPr>
          <w:rFonts w:ascii="仿宋_GB2312" w:hAnsi="仿宋_GB2312" w:eastAsia="仿宋_GB2312" w:cs="仿宋_GB2312"/>
          <w:sz w:val="32"/>
          <w:szCs w:val="32"/>
        </w:rPr>
      </w:pPr>
    </w:p>
    <w:p>
      <w:pPr>
        <w:spacing w:line="560" w:lineRule="exact"/>
        <w:ind w:firstLine="560" w:firstLineChars="200"/>
        <w:jc w:val="center"/>
        <w:rPr>
          <w:rFonts w:ascii="Cambria" w:hAnsi="Cambria" w:eastAsia="黑体"/>
          <w:bCs/>
          <w:sz w:val="28"/>
          <w:szCs w:val="32"/>
        </w:rPr>
      </w:pPr>
    </w:p>
    <w:sectPr>
      <w:footerReference r:id="rId4" w:type="default"/>
      <w:pgSz w:w="11906" w:h="16838"/>
      <w:pgMar w:top="1440" w:right="155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dobe 宋体 Std L">
    <w:altName w:val="宋体"/>
    <w:panose1 w:val="00000000000000000000"/>
    <w:charset w:val="86"/>
    <w:family w:val="roman"/>
    <w:pitch w:val="default"/>
    <w:sig w:usb0="00000000" w:usb1="00000000" w:usb2="00000016" w:usb3="00000000" w:csb0="00060007" w:csb1="00000000"/>
  </w:font>
  <w:font w:name="Arial Unicode MS">
    <w:altName w:val="Arial"/>
    <w:panose1 w:val="020B0604020202020204"/>
    <w:charset w:val="00"/>
    <w:family w:val="roman"/>
    <w:pitch w:val="default"/>
    <w:sig w:usb0="00000000" w:usb1="00000000" w:usb2="00000000" w:usb3="00000000" w:csb0="00000001"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微软雅黑"/>
    <w:panose1 w:val="00000000000000000000"/>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A88FCB"/>
    <w:multiLevelType w:val="singleLevel"/>
    <w:tmpl w:val="9AA88FCB"/>
    <w:lvl w:ilvl="0" w:tentative="0">
      <w:start w:val="1"/>
      <w:numFmt w:val="decimal"/>
      <w:suff w:val="nothing"/>
      <w:lvlText w:val="（%1）"/>
      <w:lvlJc w:val="left"/>
    </w:lvl>
  </w:abstractNum>
  <w:abstractNum w:abstractNumId="1">
    <w:nsid w:val="5944E8B6"/>
    <w:multiLevelType w:val="singleLevel"/>
    <w:tmpl w:val="5944E8B6"/>
    <w:lvl w:ilvl="0" w:tentative="0">
      <w:start w:val="1"/>
      <w:numFmt w:val="decimal"/>
      <w:suff w:val="nothing"/>
      <w:lvlText w:val="（%1）"/>
      <w:lvlJc w:val="left"/>
    </w:lvl>
  </w:abstractNum>
  <w:abstractNum w:abstractNumId="2">
    <w:nsid w:val="75947A32"/>
    <w:multiLevelType w:val="multilevel"/>
    <w:tmpl w:val="75947A32"/>
    <w:lvl w:ilvl="0" w:tentative="0">
      <w:start w:val="1"/>
      <w:numFmt w:val="japaneseCounting"/>
      <w:lvlText w:val="（%1）"/>
      <w:lvlJc w:val="left"/>
      <w:pPr>
        <w:ind w:left="1648" w:hanging="1005"/>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61F95"/>
    <w:rsid w:val="00013227"/>
    <w:rsid w:val="0002162F"/>
    <w:rsid w:val="00021C78"/>
    <w:rsid w:val="00022667"/>
    <w:rsid w:val="00024904"/>
    <w:rsid w:val="00025BEA"/>
    <w:rsid w:val="00025EB1"/>
    <w:rsid w:val="00031EEA"/>
    <w:rsid w:val="00043DA9"/>
    <w:rsid w:val="0004400F"/>
    <w:rsid w:val="0007020B"/>
    <w:rsid w:val="0008469C"/>
    <w:rsid w:val="000A1F5D"/>
    <w:rsid w:val="00125A81"/>
    <w:rsid w:val="001621AE"/>
    <w:rsid w:val="001626B6"/>
    <w:rsid w:val="001811DF"/>
    <w:rsid w:val="00187280"/>
    <w:rsid w:val="00194F22"/>
    <w:rsid w:val="001B1506"/>
    <w:rsid w:val="001B2E58"/>
    <w:rsid w:val="001B585D"/>
    <w:rsid w:val="001C3B17"/>
    <w:rsid w:val="001C5A43"/>
    <w:rsid w:val="001E44A8"/>
    <w:rsid w:val="001F7D4D"/>
    <w:rsid w:val="0020715B"/>
    <w:rsid w:val="00215499"/>
    <w:rsid w:val="00216E1A"/>
    <w:rsid w:val="00221F81"/>
    <w:rsid w:val="0024496D"/>
    <w:rsid w:val="002847AA"/>
    <w:rsid w:val="00294E2B"/>
    <w:rsid w:val="002B38B1"/>
    <w:rsid w:val="002C14B3"/>
    <w:rsid w:val="002C57CC"/>
    <w:rsid w:val="002D4783"/>
    <w:rsid w:val="002D70DD"/>
    <w:rsid w:val="002E4286"/>
    <w:rsid w:val="002F1D33"/>
    <w:rsid w:val="002F5A69"/>
    <w:rsid w:val="00302268"/>
    <w:rsid w:val="00303331"/>
    <w:rsid w:val="0031383D"/>
    <w:rsid w:val="00316698"/>
    <w:rsid w:val="003213E0"/>
    <w:rsid w:val="0034151B"/>
    <w:rsid w:val="0034294B"/>
    <w:rsid w:val="0034753D"/>
    <w:rsid w:val="00353AFB"/>
    <w:rsid w:val="00360B5D"/>
    <w:rsid w:val="0036422E"/>
    <w:rsid w:val="003854C4"/>
    <w:rsid w:val="00387B1E"/>
    <w:rsid w:val="00390427"/>
    <w:rsid w:val="003A1140"/>
    <w:rsid w:val="003B19A1"/>
    <w:rsid w:val="003B361B"/>
    <w:rsid w:val="003C0562"/>
    <w:rsid w:val="003C4210"/>
    <w:rsid w:val="003F3ED9"/>
    <w:rsid w:val="003F467A"/>
    <w:rsid w:val="003F5276"/>
    <w:rsid w:val="003F6289"/>
    <w:rsid w:val="00402DCF"/>
    <w:rsid w:val="0040346F"/>
    <w:rsid w:val="00427045"/>
    <w:rsid w:val="00427BE4"/>
    <w:rsid w:val="00430F77"/>
    <w:rsid w:val="00455830"/>
    <w:rsid w:val="00466509"/>
    <w:rsid w:val="00477C98"/>
    <w:rsid w:val="004801C7"/>
    <w:rsid w:val="004860A1"/>
    <w:rsid w:val="00486A28"/>
    <w:rsid w:val="004B2284"/>
    <w:rsid w:val="004C1AED"/>
    <w:rsid w:val="004E08AF"/>
    <w:rsid w:val="004F48C1"/>
    <w:rsid w:val="00526A0E"/>
    <w:rsid w:val="005359DA"/>
    <w:rsid w:val="00557D72"/>
    <w:rsid w:val="00576B3B"/>
    <w:rsid w:val="005A23E0"/>
    <w:rsid w:val="005A6EB3"/>
    <w:rsid w:val="005B1E9D"/>
    <w:rsid w:val="005C122F"/>
    <w:rsid w:val="005C13B7"/>
    <w:rsid w:val="006001EF"/>
    <w:rsid w:val="00603F0F"/>
    <w:rsid w:val="00621DCD"/>
    <w:rsid w:val="00626077"/>
    <w:rsid w:val="0064751F"/>
    <w:rsid w:val="00650C42"/>
    <w:rsid w:val="0067545B"/>
    <w:rsid w:val="00677A47"/>
    <w:rsid w:val="00686F6F"/>
    <w:rsid w:val="00696D0D"/>
    <w:rsid w:val="006A0370"/>
    <w:rsid w:val="006A4FAF"/>
    <w:rsid w:val="006A7A97"/>
    <w:rsid w:val="006C1A97"/>
    <w:rsid w:val="006C7AFD"/>
    <w:rsid w:val="006D304F"/>
    <w:rsid w:val="006D6A61"/>
    <w:rsid w:val="006E6488"/>
    <w:rsid w:val="006F3163"/>
    <w:rsid w:val="007236C3"/>
    <w:rsid w:val="007322B8"/>
    <w:rsid w:val="00742833"/>
    <w:rsid w:val="007444DF"/>
    <w:rsid w:val="0075590A"/>
    <w:rsid w:val="00757B4A"/>
    <w:rsid w:val="00767BFD"/>
    <w:rsid w:val="0079348A"/>
    <w:rsid w:val="007B6B2A"/>
    <w:rsid w:val="007C3814"/>
    <w:rsid w:val="007C6DDF"/>
    <w:rsid w:val="007D5622"/>
    <w:rsid w:val="007E63A0"/>
    <w:rsid w:val="007F7D7E"/>
    <w:rsid w:val="007F7FDA"/>
    <w:rsid w:val="0081673C"/>
    <w:rsid w:val="00824FC7"/>
    <w:rsid w:val="008317A5"/>
    <w:rsid w:val="008348F6"/>
    <w:rsid w:val="00846DC9"/>
    <w:rsid w:val="00850918"/>
    <w:rsid w:val="00851B8A"/>
    <w:rsid w:val="00852513"/>
    <w:rsid w:val="00853B7C"/>
    <w:rsid w:val="00857373"/>
    <w:rsid w:val="008641AB"/>
    <w:rsid w:val="00867120"/>
    <w:rsid w:val="00870A19"/>
    <w:rsid w:val="00871583"/>
    <w:rsid w:val="008836ED"/>
    <w:rsid w:val="00884EE7"/>
    <w:rsid w:val="00885448"/>
    <w:rsid w:val="008B0AFC"/>
    <w:rsid w:val="008B2CE4"/>
    <w:rsid w:val="008C4297"/>
    <w:rsid w:val="008C6959"/>
    <w:rsid w:val="008D07FF"/>
    <w:rsid w:val="008D0AA7"/>
    <w:rsid w:val="008D6E80"/>
    <w:rsid w:val="008E0F15"/>
    <w:rsid w:val="008E3C46"/>
    <w:rsid w:val="0090436E"/>
    <w:rsid w:val="00907B09"/>
    <w:rsid w:val="00914451"/>
    <w:rsid w:val="00917E7E"/>
    <w:rsid w:val="00921055"/>
    <w:rsid w:val="00922A7F"/>
    <w:rsid w:val="00927AF9"/>
    <w:rsid w:val="009444B6"/>
    <w:rsid w:val="00947D2B"/>
    <w:rsid w:val="00950427"/>
    <w:rsid w:val="00954F74"/>
    <w:rsid w:val="00961272"/>
    <w:rsid w:val="00971756"/>
    <w:rsid w:val="00971850"/>
    <w:rsid w:val="009C40C3"/>
    <w:rsid w:val="009E796A"/>
    <w:rsid w:val="009F0381"/>
    <w:rsid w:val="00A04EB9"/>
    <w:rsid w:val="00A109B0"/>
    <w:rsid w:val="00A4154B"/>
    <w:rsid w:val="00A42279"/>
    <w:rsid w:val="00A6002B"/>
    <w:rsid w:val="00A61F95"/>
    <w:rsid w:val="00A73B2F"/>
    <w:rsid w:val="00A8414C"/>
    <w:rsid w:val="00AA0619"/>
    <w:rsid w:val="00AA1097"/>
    <w:rsid w:val="00AA2666"/>
    <w:rsid w:val="00AB2DEF"/>
    <w:rsid w:val="00AD2FAB"/>
    <w:rsid w:val="00AD4DFE"/>
    <w:rsid w:val="00AD622C"/>
    <w:rsid w:val="00AD6C66"/>
    <w:rsid w:val="00AE27F0"/>
    <w:rsid w:val="00AF46B1"/>
    <w:rsid w:val="00B02A46"/>
    <w:rsid w:val="00B051A4"/>
    <w:rsid w:val="00B274E2"/>
    <w:rsid w:val="00B30B31"/>
    <w:rsid w:val="00B44DB7"/>
    <w:rsid w:val="00B466D2"/>
    <w:rsid w:val="00B5404E"/>
    <w:rsid w:val="00B73573"/>
    <w:rsid w:val="00B751D8"/>
    <w:rsid w:val="00B75F12"/>
    <w:rsid w:val="00B83130"/>
    <w:rsid w:val="00BA138E"/>
    <w:rsid w:val="00BA6D10"/>
    <w:rsid w:val="00BB3564"/>
    <w:rsid w:val="00BC0BD7"/>
    <w:rsid w:val="00BE066B"/>
    <w:rsid w:val="00BE7E97"/>
    <w:rsid w:val="00BF27D4"/>
    <w:rsid w:val="00BF605C"/>
    <w:rsid w:val="00C11796"/>
    <w:rsid w:val="00C11CBE"/>
    <w:rsid w:val="00C147B3"/>
    <w:rsid w:val="00C17AF1"/>
    <w:rsid w:val="00C240C2"/>
    <w:rsid w:val="00C37EE0"/>
    <w:rsid w:val="00C4111C"/>
    <w:rsid w:val="00C56F4F"/>
    <w:rsid w:val="00C96A72"/>
    <w:rsid w:val="00CA722E"/>
    <w:rsid w:val="00CB21F2"/>
    <w:rsid w:val="00CB3058"/>
    <w:rsid w:val="00CB4462"/>
    <w:rsid w:val="00CC0CE7"/>
    <w:rsid w:val="00CC7C87"/>
    <w:rsid w:val="00CE3718"/>
    <w:rsid w:val="00CE54C9"/>
    <w:rsid w:val="00CF6AA1"/>
    <w:rsid w:val="00CF776E"/>
    <w:rsid w:val="00D01ABA"/>
    <w:rsid w:val="00D0381C"/>
    <w:rsid w:val="00D1377F"/>
    <w:rsid w:val="00D24863"/>
    <w:rsid w:val="00D26FA2"/>
    <w:rsid w:val="00D311B9"/>
    <w:rsid w:val="00D33FCF"/>
    <w:rsid w:val="00D37020"/>
    <w:rsid w:val="00D50BAA"/>
    <w:rsid w:val="00D62817"/>
    <w:rsid w:val="00D749FB"/>
    <w:rsid w:val="00D82620"/>
    <w:rsid w:val="00D83C72"/>
    <w:rsid w:val="00D8458B"/>
    <w:rsid w:val="00D85E23"/>
    <w:rsid w:val="00DA6B9C"/>
    <w:rsid w:val="00DB1D06"/>
    <w:rsid w:val="00DB60DE"/>
    <w:rsid w:val="00DC144B"/>
    <w:rsid w:val="00DC464B"/>
    <w:rsid w:val="00DC521D"/>
    <w:rsid w:val="00E03E2C"/>
    <w:rsid w:val="00E55D89"/>
    <w:rsid w:val="00E65D26"/>
    <w:rsid w:val="00E6672D"/>
    <w:rsid w:val="00E674D2"/>
    <w:rsid w:val="00E74BB7"/>
    <w:rsid w:val="00E7625A"/>
    <w:rsid w:val="00E8110F"/>
    <w:rsid w:val="00E84FF2"/>
    <w:rsid w:val="00EA38AF"/>
    <w:rsid w:val="00EA7782"/>
    <w:rsid w:val="00EC1356"/>
    <w:rsid w:val="00EC4BED"/>
    <w:rsid w:val="00ED3ABB"/>
    <w:rsid w:val="00ED789C"/>
    <w:rsid w:val="00F12AF5"/>
    <w:rsid w:val="00F2582B"/>
    <w:rsid w:val="00F4071C"/>
    <w:rsid w:val="00F451AF"/>
    <w:rsid w:val="00F5350B"/>
    <w:rsid w:val="00F564CC"/>
    <w:rsid w:val="00F5670E"/>
    <w:rsid w:val="00F57E3D"/>
    <w:rsid w:val="00F727C3"/>
    <w:rsid w:val="00F974A1"/>
    <w:rsid w:val="00FB2CE7"/>
    <w:rsid w:val="00FC0857"/>
    <w:rsid w:val="00FE2393"/>
    <w:rsid w:val="00FE64C9"/>
    <w:rsid w:val="00FF010B"/>
    <w:rsid w:val="00FF4176"/>
    <w:rsid w:val="00FF6432"/>
    <w:rsid w:val="027A147E"/>
    <w:rsid w:val="02BF3B29"/>
    <w:rsid w:val="02C76439"/>
    <w:rsid w:val="03371E23"/>
    <w:rsid w:val="033A7626"/>
    <w:rsid w:val="044813F3"/>
    <w:rsid w:val="07362CA8"/>
    <w:rsid w:val="078F215D"/>
    <w:rsid w:val="08AF3E2F"/>
    <w:rsid w:val="0BCD611E"/>
    <w:rsid w:val="0CCA4CF0"/>
    <w:rsid w:val="0F966E6D"/>
    <w:rsid w:val="16560E7B"/>
    <w:rsid w:val="16B510C6"/>
    <w:rsid w:val="16C564FB"/>
    <w:rsid w:val="17113171"/>
    <w:rsid w:val="1E62194C"/>
    <w:rsid w:val="205F7A52"/>
    <w:rsid w:val="20B4672B"/>
    <w:rsid w:val="263012E8"/>
    <w:rsid w:val="292E7903"/>
    <w:rsid w:val="299F3582"/>
    <w:rsid w:val="29CA734B"/>
    <w:rsid w:val="2A8C30F9"/>
    <w:rsid w:val="2C115055"/>
    <w:rsid w:val="2D1D231A"/>
    <w:rsid w:val="32A766C3"/>
    <w:rsid w:val="33140BE7"/>
    <w:rsid w:val="336E3F47"/>
    <w:rsid w:val="381F0410"/>
    <w:rsid w:val="388C4443"/>
    <w:rsid w:val="39FF1DC1"/>
    <w:rsid w:val="3A07500C"/>
    <w:rsid w:val="3B073799"/>
    <w:rsid w:val="3C0B5028"/>
    <w:rsid w:val="3CEB498D"/>
    <w:rsid w:val="3D7D3AD3"/>
    <w:rsid w:val="3D8F18CE"/>
    <w:rsid w:val="3E6F6E92"/>
    <w:rsid w:val="3EAA52A2"/>
    <w:rsid w:val="3F5A498E"/>
    <w:rsid w:val="413C77EB"/>
    <w:rsid w:val="42F73640"/>
    <w:rsid w:val="43172BBC"/>
    <w:rsid w:val="451C4ABA"/>
    <w:rsid w:val="45DC5FCD"/>
    <w:rsid w:val="478814D5"/>
    <w:rsid w:val="47DB1D9C"/>
    <w:rsid w:val="484A37AA"/>
    <w:rsid w:val="4AD71477"/>
    <w:rsid w:val="4BB406DE"/>
    <w:rsid w:val="4ECA03A5"/>
    <w:rsid w:val="52760239"/>
    <w:rsid w:val="55F765AF"/>
    <w:rsid w:val="5C5C118E"/>
    <w:rsid w:val="5D99593B"/>
    <w:rsid w:val="5F3F2A65"/>
    <w:rsid w:val="607D4D16"/>
    <w:rsid w:val="60C47790"/>
    <w:rsid w:val="624D24C6"/>
    <w:rsid w:val="633B0605"/>
    <w:rsid w:val="650A23EE"/>
    <w:rsid w:val="665205BD"/>
    <w:rsid w:val="6792402F"/>
    <w:rsid w:val="67C83975"/>
    <w:rsid w:val="6873206F"/>
    <w:rsid w:val="688D3CF3"/>
    <w:rsid w:val="6E2339DC"/>
    <w:rsid w:val="6E6A5903"/>
    <w:rsid w:val="6E8D166D"/>
    <w:rsid w:val="6F7E504B"/>
    <w:rsid w:val="6FB974B6"/>
    <w:rsid w:val="70533967"/>
    <w:rsid w:val="70C16D3B"/>
    <w:rsid w:val="72203459"/>
    <w:rsid w:val="73F720E6"/>
    <w:rsid w:val="779A56D7"/>
    <w:rsid w:val="78293585"/>
    <w:rsid w:val="78A83BE3"/>
    <w:rsid w:val="792B2810"/>
    <w:rsid w:val="7B071954"/>
    <w:rsid w:val="7E3635F6"/>
    <w:rsid w:val="7E89712C"/>
    <w:rsid w:val="7E9A3782"/>
    <w:rsid w:val="7EA82C00"/>
    <w:rsid w:val="7FD91C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0"/>
    <w:pPr>
      <w:keepNext/>
      <w:keepLines/>
      <w:spacing w:after="60" w:line="550" w:lineRule="exact"/>
      <w:jc w:val="center"/>
      <w:outlineLvl w:val="0"/>
    </w:pPr>
    <w:rPr>
      <w:rFonts w:eastAsia="方正小标宋简体"/>
      <w:bCs/>
      <w:kern w:val="44"/>
      <w:sz w:val="36"/>
      <w:szCs w:val="44"/>
    </w:rPr>
  </w:style>
  <w:style w:type="paragraph" w:styleId="3">
    <w:name w:val="heading 2"/>
    <w:basedOn w:val="1"/>
    <w:next w:val="1"/>
    <w:link w:val="21"/>
    <w:qFormat/>
    <w:uiPriority w:val="9"/>
    <w:pPr>
      <w:keepNext/>
      <w:keepLines/>
      <w:spacing w:line="500" w:lineRule="exact"/>
      <w:ind w:firstLine="200" w:firstLineChars="200"/>
      <w:outlineLvl w:val="1"/>
    </w:pPr>
    <w:rPr>
      <w:rFonts w:ascii="Cambria" w:hAnsi="Cambria" w:eastAsia="黑体"/>
      <w:bCs/>
      <w:sz w:val="28"/>
      <w:szCs w:val="32"/>
    </w:rPr>
  </w:style>
  <w:style w:type="paragraph" w:styleId="4">
    <w:name w:val="heading 3"/>
    <w:basedOn w:val="1"/>
    <w:next w:val="1"/>
    <w:link w:val="22"/>
    <w:qFormat/>
    <w:uiPriority w:val="0"/>
    <w:pPr>
      <w:keepNext/>
      <w:keepLines/>
      <w:spacing w:before="260" w:after="260" w:line="416" w:lineRule="auto"/>
      <w:outlineLvl w:val="2"/>
    </w:pPr>
    <w:rPr>
      <w:b/>
      <w:bCs/>
      <w:sz w:val="32"/>
      <w:szCs w:val="32"/>
    </w:rPr>
  </w:style>
  <w:style w:type="paragraph" w:styleId="5">
    <w:name w:val="heading 4"/>
    <w:basedOn w:val="1"/>
    <w:next w:val="1"/>
    <w:link w:val="23"/>
    <w:qFormat/>
    <w:uiPriority w:val="0"/>
    <w:pPr>
      <w:keepNext/>
      <w:keepLines/>
      <w:spacing w:line="500" w:lineRule="exact"/>
      <w:ind w:firstLine="200" w:firstLineChars="200"/>
      <w:outlineLvl w:val="3"/>
    </w:pPr>
    <w:rPr>
      <w:rFonts w:ascii="宋体" w:hAnsi="Adobe 宋体 Std L"/>
      <w:b/>
      <w:bCs/>
      <w:sz w:val="28"/>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rFonts w:ascii="Arial Unicode MS" w:hAnsi="Arial Unicode MS" w:eastAsia="Arial Unicode MS" w:cs="Arial Unicode MS"/>
      <w:sz w:val="22"/>
      <w:lang w:val="zh-CN" w:bidi="zh-CN"/>
    </w:rPr>
  </w:style>
  <w:style w:type="paragraph" w:styleId="7">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rPr>
  </w:style>
  <w:style w:type="paragraph" w:styleId="8">
    <w:name w:val="Date"/>
    <w:basedOn w:val="1"/>
    <w:next w:val="1"/>
    <w:link w:val="28"/>
    <w:semiHidden/>
    <w:unhideWhenUsed/>
    <w:qFormat/>
    <w:uiPriority w:val="99"/>
    <w:pPr>
      <w:ind w:left="100" w:leftChars="2500"/>
    </w:pPr>
  </w:style>
  <w:style w:type="paragraph" w:styleId="9">
    <w:name w:val="Balloon Text"/>
    <w:basedOn w:val="1"/>
    <w:link w:val="24"/>
    <w:semiHidden/>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3">
    <w:name w:val="toc 2"/>
    <w:basedOn w:val="1"/>
    <w:next w:val="1"/>
    <w:unhideWhenUsed/>
    <w:qFormat/>
    <w:uiPriority w:val="39"/>
    <w:pPr>
      <w:widowControl/>
      <w:tabs>
        <w:tab w:val="right" w:leader="dot" w:pos="8920"/>
      </w:tabs>
      <w:spacing w:line="0" w:lineRule="atLeast"/>
      <w:ind w:left="221"/>
      <w:jc w:val="left"/>
    </w:pPr>
    <w:rPr>
      <w:rFonts w:asciiTheme="minorHAnsi" w:hAnsiTheme="minorHAnsi" w:eastAsiaTheme="minorEastAsia"/>
      <w:kern w:val="0"/>
      <w:sz w:val="22"/>
    </w:rPr>
  </w:style>
  <w:style w:type="paragraph" w:styleId="14">
    <w:name w:val="Normal (Web)"/>
    <w:basedOn w:val="1"/>
    <w:qFormat/>
    <w:uiPriority w:val="99"/>
    <w:pPr>
      <w:widowControl/>
      <w:spacing w:before="100" w:beforeAutospacing="1" w:after="100" w:afterAutospacing="1"/>
      <w:jc w:val="left"/>
    </w:pPr>
    <w:rPr>
      <w:rFonts w:ascii="宋体" w:hAnsi="宋体"/>
      <w:kern w:val="0"/>
      <w:sz w:val="24"/>
      <w:szCs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Emphasis"/>
    <w:qFormat/>
    <w:uiPriority w:val="0"/>
    <w:rPr>
      <w:color w:val="CC0000"/>
      <w:sz w:val="24"/>
      <w:szCs w:val="24"/>
    </w:rPr>
  </w:style>
  <w:style w:type="character" w:styleId="19">
    <w:name w:val="Hyperlink"/>
    <w:basedOn w:val="17"/>
    <w:unhideWhenUsed/>
    <w:qFormat/>
    <w:uiPriority w:val="99"/>
    <w:rPr>
      <w:color w:val="0000FF"/>
      <w:u w:val="single"/>
    </w:rPr>
  </w:style>
  <w:style w:type="character" w:customStyle="1" w:styleId="20">
    <w:name w:val="标题 1 Char"/>
    <w:basedOn w:val="17"/>
    <w:link w:val="2"/>
    <w:qFormat/>
    <w:uiPriority w:val="0"/>
    <w:rPr>
      <w:rFonts w:ascii="Calibri" w:hAnsi="Calibri" w:eastAsia="方正小标宋简体" w:cs="Times New Roman"/>
      <w:bCs/>
      <w:kern w:val="44"/>
      <w:sz w:val="36"/>
      <w:szCs w:val="44"/>
    </w:rPr>
  </w:style>
  <w:style w:type="character" w:customStyle="1" w:styleId="21">
    <w:name w:val="标题 2 Char"/>
    <w:basedOn w:val="17"/>
    <w:link w:val="3"/>
    <w:qFormat/>
    <w:uiPriority w:val="9"/>
    <w:rPr>
      <w:rFonts w:ascii="Cambria" w:hAnsi="Cambria" w:eastAsia="黑体" w:cs="Times New Roman"/>
      <w:bCs/>
      <w:sz w:val="28"/>
      <w:szCs w:val="32"/>
    </w:rPr>
  </w:style>
  <w:style w:type="character" w:customStyle="1" w:styleId="22">
    <w:name w:val="标题 3 Char"/>
    <w:basedOn w:val="17"/>
    <w:link w:val="4"/>
    <w:qFormat/>
    <w:uiPriority w:val="0"/>
    <w:rPr>
      <w:rFonts w:ascii="Calibri" w:hAnsi="Calibri" w:eastAsia="宋体" w:cs="Times New Roman"/>
      <w:b/>
      <w:bCs/>
      <w:sz w:val="32"/>
      <w:szCs w:val="32"/>
    </w:rPr>
  </w:style>
  <w:style w:type="character" w:customStyle="1" w:styleId="23">
    <w:name w:val="标题 4 Char"/>
    <w:basedOn w:val="17"/>
    <w:link w:val="5"/>
    <w:qFormat/>
    <w:uiPriority w:val="0"/>
    <w:rPr>
      <w:rFonts w:ascii="宋体" w:hAnsi="Adobe 宋体 Std L" w:eastAsia="宋体" w:cs="Times New Roman"/>
      <w:b/>
      <w:bCs/>
      <w:sz w:val="28"/>
      <w:szCs w:val="28"/>
    </w:rPr>
  </w:style>
  <w:style w:type="character" w:customStyle="1" w:styleId="24">
    <w:name w:val="批注框文本 Char"/>
    <w:basedOn w:val="17"/>
    <w:link w:val="9"/>
    <w:semiHidden/>
    <w:qFormat/>
    <w:uiPriority w:val="99"/>
    <w:rPr>
      <w:rFonts w:ascii="Calibri" w:hAnsi="Calibri" w:eastAsia="宋体" w:cs="Times New Roman"/>
      <w:sz w:val="18"/>
      <w:szCs w:val="18"/>
    </w:rPr>
  </w:style>
  <w:style w:type="character" w:customStyle="1" w:styleId="25">
    <w:name w:val="页眉 Char"/>
    <w:basedOn w:val="17"/>
    <w:link w:val="11"/>
    <w:qFormat/>
    <w:uiPriority w:val="99"/>
    <w:rPr>
      <w:rFonts w:ascii="Calibri" w:hAnsi="Calibri" w:eastAsia="宋体" w:cs="Times New Roman"/>
      <w:sz w:val="18"/>
      <w:szCs w:val="18"/>
    </w:rPr>
  </w:style>
  <w:style w:type="character" w:customStyle="1" w:styleId="26">
    <w:name w:val="页脚 Char"/>
    <w:basedOn w:val="17"/>
    <w:link w:val="10"/>
    <w:qFormat/>
    <w:uiPriority w:val="99"/>
    <w:rPr>
      <w:rFonts w:ascii="Calibri" w:hAnsi="Calibri" w:eastAsia="宋体" w:cs="Times New Roman"/>
      <w:sz w:val="18"/>
      <w:szCs w:val="18"/>
    </w:rPr>
  </w:style>
  <w:style w:type="paragraph" w:customStyle="1" w:styleId="2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Cs w:val="0"/>
      <w:color w:val="2F5496" w:themeColor="accent1" w:themeShade="BF"/>
      <w:kern w:val="0"/>
      <w:sz w:val="32"/>
      <w:szCs w:val="32"/>
    </w:rPr>
  </w:style>
  <w:style w:type="character" w:customStyle="1" w:styleId="28">
    <w:name w:val="日期 Char"/>
    <w:basedOn w:val="17"/>
    <w:link w:val="8"/>
    <w:semiHidden/>
    <w:qFormat/>
    <w:uiPriority w:val="99"/>
    <w:rPr>
      <w:rFonts w:ascii="Calibri" w:hAnsi="Calibri" w:eastAsia="宋体" w:cs="Times New Roman"/>
    </w:rPr>
  </w:style>
  <w:style w:type="paragraph" w:customStyle="1" w:styleId="29">
    <w:name w:val="Table Paragraph"/>
    <w:basedOn w:val="1"/>
    <w:qFormat/>
    <w:uiPriority w:val="1"/>
    <w:rPr>
      <w:rFonts w:ascii="Arial Unicode MS" w:hAnsi="Arial Unicode MS" w:eastAsia="Arial Unicode MS" w:cs="Arial Unicode MS"/>
      <w:lang w:val="zh-CN" w:bidi="zh-CN"/>
    </w:rPr>
  </w:style>
  <w:style w:type="paragraph" w:styleId="30">
    <w:name w:val="List Paragraph"/>
    <w:basedOn w:val="1"/>
    <w:qFormat/>
    <w:uiPriority w:val="1"/>
    <w:pPr>
      <w:spacing w:before="1"/>
      <w:ind w:left="834" w:hanging="275"/>
    </w:pPr>
    <w:rPr>
      <w:rFonts w:ascii="Arial Unicode MS" w:hAnsi="Arial Unicode MS" w:eastAsia="Arial Unicode MS" w:cs="Arial Unicode MS"/>
      <w:lang w:val="zh-CN" w:bidi="zh-CN"/>
    </w:rPr>
  </w:style>
  <w:style w:type="paragraph" w:customStyle="1" w:styleId="31">
    <w:name w:val="标题一"/>
    <w:basedOn w:val="1"/>
    <w:qFormat/>
    <w:uiPriority w:val="99"/>
    <w:pPr>
      <w:adjustRightInd w:val="0"/>
      <w:snapToGrid w:val="0"/>
      <w:spacing w:line="500" w:lineRule="exact"/>
      <w:ind w:firstLine="396" w:firstLineChars="141"/>
      <w:jc w:val="left"/>
    </w:pPr>
    <w:rPr>
      <w:rFonts w:ascii="仿宋_GB2312" w:hAnsi="黑体" w:eastAsia="仿宋_GB2312"/>
      <w:b/>
      <w:bCs/>
      <w:color w:val="000000"/>
      <w:kern w:val="0"/>
      <w:sz w:val="28"/>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8B0D96-9327-45E0-AFE5-A470ECD8682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1490</Words>
  <Characters>8493</Characters>
  <Lines>70</Lines>
  <Paragraphs>19</Paragraphs>
  <TotalTime>15</TotalTime>
  <ScaleCrop>false</ScaleCrop>
  <LinksUpToDate>false</LinksUpToDate>
  <CharactersWithSpaces>9964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2019-08-12T07:46:00Z</dcterms:created>
  <dc:creator>Administrator</dc:creator>
  <cp:lastModifiedBy>1010</cp:lastModifiedBy>
  <cp:lastPrinted>2019-08-12T07:59:00Z</cp:lastPrinted>
  <dcterms:modified xsi:type="dcterms:W3CDTF">2022-01-23T02:00:11Z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9CCC268C3AFC4005B288AB0F338E4A7F</vt:lpwstr>
  </property>
</Properties>
</file>