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sz w:val="44"/>
          <w:szCs w:val="44"/>
        </w:rPr>
      </w:pPr>
      <w:bookmarkStart w:id="0" w:name="_Toc532047320"/>
      <w:r>
        <w:drawing>
          <wp:inline distT="0" distB="0" distL="0" distR="0">
            <wp:extent cx="5181600" cy="779145"/>
            <wp:effectExtent l="0" t="0" r="0" b="1905"/>
            <wp:docPr id="3"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防城港市理工logo透明"/>
                    <pic:cNvPicPr>
                      <a:picLocks noChangeAspect="1" noChangeArrowheads="1"/>
                    </pic:cNvPicPr>
                  </pic:nvPicPr>
                  <pic:blipFill>
                    <a:blip r:embed="rId6" cstate="print"/>
                    <a:srcRect/>
                    <a:stretch>
                      <a:fillRect/>
                    </a:stretch>
                  </pic:blipFill>
                  <pic:spPr>
                    <a:xfrm>
                      <a:off x="0" y="0"/>
                      <a:ext cx="5181600" cy="779145"/>
                    </a:xfrm>
                    <a:prstGeom prst="rect">
                      <a:avLst/>
                    </a:prstGeom>
                    <a:noFill/>
                    <a:ln w="9525">
                      <a:noFill/>
                      <a:miter lim="800000"/>
                      <a:headEnd/>
                      <a:tailEnd/>
                    </a:ln>
                  </pic:spPr>
                </pic:pic>
              </a:graphicData>
            </a:graphic>
          </wp:inline>
        </w:drawing>
      </w:r>
    </w:p>
    <w:p>
      <w:pPr>
        <w:jc w:val="center"/>
        <w:rPr>
          <w:rFonts w:ascii="仿宋_GB2312" w:hAnsi="黑体" w:eastAsia="仿宋_GB2312"/>
          <w:sz w:val="30"/>
          <w:szCs w:val="30"/>
        </w:rPr>
      </w:pPr>
    </w:p>
    <w:p>
      <w:pPr>
        <w:jc w:val="center"/>
        <w:rPr>
          <w:rFonts w:ascii="黑体" w:hAnsi="黑体" w:eastAsia="黑体"/>
          <w:szCs w:val="21"/>
        </w:rPr>
      </w:pPr>
    </w:p>
    <w:p>
      <w:pPr>
        <w:jc w:val="center"/>
        <w:rPr>
          <w:rFonts w:hint="eastAsia" w:ascii="方正小标宋简体" w:hAnsi="黑体" w:eastAsia="方正小标宋简体"/>
          <w:sz w:val="96"/>
          <w:szCs w:val="96"/>
        </w:rPr>
      </w:pPr>
      <w:r>
        <w:rPr>
          <w:rFonts w:hint="eastAsia" w:ascii="方正小标宋简体" w:hAnsi="黑体" w:eastAsia="方正小标宋简体"/>
          <w:sz w:val="96"/>
          <w:szCs w:val="96"/>
        </w:rPr>
        <w:t>人才培养方案</w:t>
      </w:r>
    </w:p>
    <w:p>
      <w:pPr>
        <w:rPr>
          <w:rFonts w:ascii="黑体" w:hAnsi="黑体" w:eastAsia="黑体"/>
          <w:sz w:val="32"/>
          <w:szCs w:val="32"/>
        </w:rPr>
      </w:pPr>
    </w:p>
    <w:p>
      <w:pPr>
        <w:ind w:left="2520" w:firstLine="32"/>
        <w:rPr>
          <w:rFonts w:ascii="黑体" w:hAnsi="黑体" w:eastAsia="黑体"/>
          <w:sz w:val="28"/>
          <w:szCs w:val="28"/>
        </w:rPr>
      </w:pPr>
    </w:p>
    <w:p>
      <w:pPr>
        <w:ind w:left="2520" w:firstLine="32"/>
        <w:rPr>
          <w:rFonts w:ascii="仿宋_GB2312" w:hAnsi="黑体" w:eastAsia="黑体"/>
          <w:sz w:val="32"/>
          <w:szCs w:val="32"/>
        </w:rPr>
      </w:pPr>
      <w:r>
        <w:rPr>
          <w:rFonts w:hint="eastAsia" w:ascii="黑体" w:hAnsi="黑体" w:eastAsia="黑体"/>
          <w:sz w:val="32"/>
          <w:szCs w:val="32"/>
        </w:rPr>
        <w:t>专业名称</w:t>
      </w:r>
      <w:r>
        <w:rPr>
          <w:rFonts w:hint="eastAsia" w:ascii="黑体" w:hAnsi="黑体" w:eastAsia="黑体"/>
          <w:sz w:val="32"/>
          <w:szCs w:val="32"/>
          <w:u w:val="single"/>
        </w:rPr>
        <w:t xml:space="preserve">  物流服务与管理  </w:t>
      </w:r>
      <w:r>
        <w:rPr>
          <w:rFonts w:hint="eastAsia" w:ascii="黑体" w:hAnsi="黑体" w:eastAsia="黑体"/>
          <w:b/>
          <w:bCs/>
          <w:sz w:val="32"/>
          <w:szCs w:val="32"/>
          <w:u w:val="single"/>
        </w:rPr>
        <w:t xml:space="preserve">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专业性质 </w:t>
      </w:r>
      <w:r>
        <w:rPr>
          <w:rFonts w:hint="eastAsia" w:ascii="黑体" w:hAnsi="黑体" w:eastAsia="黑体"/>
          <w:sz w:val="32"/>
          <w:szCs w:val="32"/>
          <w:u w:val="single"/>
        </w:rPr>
        <w:t xml:space="preserve">       中职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专业类别 </w:t>
      </w:r>
      <w:r>
        <w:rPr>
          <w:rFonts w:hint="eastAsia" w:ascii="黑体" w:hAnsi="黑体" w:eastAsia="黑体"/>
          <w:sz w:val="32"/>
          <w:szCs w:val="32"/>
          <w:u w:val="single"/>
        </w:rPr>
        <w:t xml:space="preserve">    物流类       </w:t>
      </w:r>
    </w:p>
    <w:p>
      <w:pPr>
        <w:ind w:left="2520" w:firstLine="32"/>
        <w:rPr>
          <w:rFonts w:ascii="仿宋_GB2312" w:hAnsi="黑体" w:eastAsia="仿宋_GB2312"/>
          <w:sz w:val="32"/>
          <w:szCs w:val="32"/>
        </w:rPr>
      </w:pPr>
      <w:r>
        <w:rPr>
          <w:rFonts w:hint="eastAsia" w:ascii="黑体" w:hAnsi="黑体" w:eastAsia="黑体"/>
          <w:sz w:val="32"/>
          <w:szCs w:val="32"/>
        </w:rPr>
        <w:t>专业代码</w:t>
      </w:r>
      <w:r>
        <w:rPr>
          <w:rFonts w:hint="eastAsia" w:ascii="黑体" w:hAnsi="黑体" w:eastAsia="黑体"/>
          <w:sz w:val="32"/>
          <w:szCs w:val="32"/>
          <w:u w:val="single"/>
        </w:rPr>
        <w:t xml:space="preserve">       730801      </w:t>
      </w:r>
    </w:p>
    <w:p>
      <w:pPr>
        <w:ind w:left="2520" w:firstLine="32"/>
        <w:rPr>
          <w:rFonts w:ascii="仿宋_GB2312" w:hAnsi="黑体" w:eastAsia="仿宋_GB2312"/>
          <w:sz w:val="32"/>
          <w:szCs w:val="32"/>
          <w:u w:val="single"/>
        </w:rPr>
      </w:pPr>
      <w:r>
        <w:rPr>
          <w:rFonts w:hint="eastAsia" w:ascii="黑体" w:hAnsi="黑体" w:eastAsia="黑体"/>
          <w:sz w:val="32"/>
          <w:szCs w:val="32"/>
        </w:rPr>
        <w:t xml:space="preserve">基本学制 </w:t>
      </w:r>
      <w:r>
        <w:rPr>
          <w:rFonts w:hint="eastAsia" w:ascii="黑体" w:hAnsi="黑体" w:eastAsia="黑体"/>
          <w:sz w:val="32"/>
          <w:szCs w:val="32"/>
          <w:u w:val="single"/>
        </w:rPr>
        <w:t xml:space="preserve">       三年       </w:t>
      </w:r>
    </w:p>
    <w:p>
      <w:pPr>
        <w:ind w:left="2520" w:firstLine="32"/>
        <w:rPr>
          <w:rFonts w:ascii="仿宋_GB2312" w:hAnsi="黑体" w:eastAsia="仿宋_GB2312"/>
          <w:sz w:val="32"/>
          <w:szCs w:val="32"/>
        </w:rPr>
      </w:pPr>
      <w:r>
        <w:rPr>
          <w:rFonts w:hint="eastAsia" w:ascii="黑体" w:hAnsi="黑体" w:eastAsia="黑体"/>
          <w:sz w:val="32"/>
          <w:szCs w:val="32"/>
        </w:rPr>
        <w:t xml:space="preserve">招生对象 </w:t>
      </w:r>
      <w:r>
        <w:rPr>
          <w:rFonts w:hint="eastAsia" w:ascii="黑体" w:hAnsi="黑体" w:eastAsia="黑体"/>
          <w:sz w:val="32"/>
          <w:szCs w:val="32"/>
          <w:u w:val="single"/>
        </w:rPr>
        <w:t xml:space="preserve">    初中毕业生    </w:t>
      </w:r>
    </w:p>
    <w:p>
      <w:pPr>
        <w:jc w:val="center"/>
        <w:rPr>
          <w:rFonts w:ascii="仿宋_GB2312" w:hAnsi="黑体" w:eastAsia="仿宋_GB2312"/>
          <w:sz w:val="32"/>
          <w:szCs w:val="32"/>
        </w:rPr>
      </w:pPr>
    </w:p>
    <w:p>
      <w:pPr>
        <w:jc w:val="center"/>
        <w:rPr>
          <w:rFonts w:ascii="仿宋_GB2312" w:hAnsi="黑体" w:eastAsia="仿宋_GB2312"/>
          <w:sz w:val="32"/>
          <w:szCs w:val="32"/>
        </w:rPr>
      </w:pPr>
    </w:p>
    <w:p>
      <w:pPr>
        <w:jc w:val="center"/>
        <w:rPr>
          <w:rFonts w:ascii="黑体" w:hAnsi="黑体" w:eastAsia="黑体"/>
          <w:sz w:val="32"/>
          <w:szCs w:val="32"/>
        </w:rPr>
      </w:pPr>
      <w:r>
        <w:rPr>
          <w:rFonts w:hint="eastAsia" w:ascii="黑体" w:hAnsi="黑体" w:eastAsia="黑体"/>
          <w:sz w:val="32"/>
          <w:szCs w:val="32"/>
        </w:rPr>
        <w:t>防城港市理工职业学校</w:t>
      </w:r>
    </w:p>
    <w:p>
      <w:pPr>
        <w:jc w:val="center"/>
        <w:rPr>
          <w:rFonts w:ascii="黑体" w:hAnsi="黑体" w:eastAsia="黑体"/>
          <w:sz w:val="32"/>
          <w:szCs w:val="32"/>
        </w:rPr>
      </w:pPr>
      <w:r>
        <w:rPr>
          <w:rFonts w:hint="eastAsia" w:ascii="黑体" w:hAnsi="黑体" w:eastAsia="黑体"/>
          <w:sz w:val="32"/>
          <w:szCs w:val="32"/>
        </w:rPr>
        <w:t>二○二二年一月</w:t>
      </w:r>
    </w:p>
    <w:p>
      <w:pPr>
        <w:spacing w:line="520" w:lineRule="exact"/>
        <w:jc w:val="center"/>
        <w:rPr>
          <w:b/>
          <w:bCs/>
          <w:sz w:val="32"/>
          <w:szCs w:val="32"/>
        </w:rPr>
      </w:pPr>
    </w:p>
    <w:p>
      <w:pPr>
        <w:spacing w:line="520" w:lineRule="exact"/>
        <w:jc w:val="center"/>
        <w:rPr>
          <w:b/>
          <w:bCs/>
          <w:sz w:val="32"/>
          <w:szCs w:val="32"/>
        </w:rPr>
      </w:pPr>
    </w:p>
    <w:p>
      <w:pPr>
        <w:spacing w:line="520" w:lineRule="exact"/>
        <w:rPr>
          <w:b/>
          <w:bCs/>
          <w:sz w:val="44"/>
          <w:szCs w:val="44"/>
        </w:rPr>
      </w:pPr>
    </w:p>
    <w:p>
      <w:pPr>
        <w:spacing w:line="480" w:lineRule="exact"/>
        <w:ind w:firstLine="562" w:firstLineChars="200"/>
        <w:jc w:val="left"/>
        <w:textAlignment w:val="baseline"/>
        <w:rPr>
          <w:rFonts w:ascii="宋体" w:hAnsi="宋体"/>
          <w:sz w:val="28"/>
          <w:szCs w:val="28"/>
        </w:rPr>
      </w:pPr>
      <w:r>
        <w:rPr>
          <w:rFonts w:ascii="宋体" w:hAnsi="宋体"/>
          <w:b/>
          <w:sz w:val="28"/>
          <w:szCs w:val="28"/>
        </w:rPr>
        <w:br w:type="page"/>
      </w:r>
    </w:p>
    <w:bookmarkEnd w:id="0"/>
    <w:sdt>
      <w:sdtPr>
        <w:rPr>
          <w:rFonts w:ascii="Times New Roman" w:hAnsi="Times New Roman" w:eastAsia="宋体" w:cs="Times New Roman"/>
          <w:color w:val="auto"/>
          <w:kern w:val="2"/>
          <w:sz w:val="21"/>
          <w:szCs w:val="24"/>
          <w:lang w:val="zh-CN"/>
        </w:rPr>
        <w:id w:val="-2060545293"/>
      </w:sdtPr>
      <w:sdtEndPr>
        <w:rPr>
          <w:rFonts w:ascii="Times New Roman" w:hAnsi="Times New Roman" w:eastAsia="宋体" w:cs="Times New Roman"/>
          <w:b/>
          <w:bCs/>
          <w:color w:val="auto"/>
          <w:kern w:val="2"/>
          <w:sz w:val="21"/>
          <w:szCs w:val="24"/>
          <w:lang w:val="zh-CN"/>
        </w:rPr>
      </w:sdtEndPr>
      <w:sdtContent>
        <w:p>
          <w:pPr>
            <w:pStyle w:val="21"/>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lang w:val="zh-CN"/>
            </w:rPr>
            <w:t>目 录</w:t>
          </w:r>
        </w:p>
        <w:p>
          <w:pPr>
            <w:pStyle w:val="9"/>
            <w:tabs>
              <w:tab w:val="right" w:leader="dot" w:pos="8296"/>
            </w:tabs>
            <w:rPr>
              <w:rFonts w:ascii="黑体" w:hAnsi="黑体" w:eastAsia="黑体" w:cstheme="minorBidi"/>
              <w:kern w:val="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"_Toc88037560" </w:instrText>
          </w:r>
          <w:r>
            <w:fldChar w:fldCharType="separate"/>
          </w:r>
          <w:r>
            <w:rPr>
              <w:rStyle w:val="16"/>
              <w:rFonts w:hint="eastAsia" w:ascii="黑体" w:hAnsi="黑体" w:eastAsia="黑体"/>
              <w:sz w:val="32"/>
              <w:szCs w:val="32"/>
            </w:rPr>
            <w:t>一、专业名称及代码</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_Toc88037560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"_Toc88037561" </w:instrText>
          </w:r>
          <w:r>
            <w:fldChar w:fldCharType="separate"/>
          </w:r>
          <w:r>
            <w:rPr>
              <w:rStyle w:val="16"/>
              <w:rFonts w:hint="eastAsia" w:ascii="黑体" w:hAnsi="黑体" w:eastAsia="黑体"/>
              <w:sz w:val="32"/>
              <w:szCs w:val="32"/>
            </w:rPr>
            <w:t>二、入学要求</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_Toc88037561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"_Toc88037562" </w:instrText>
          </w:r>
          <w:r>
            <w:fldChar w:fldCharType="separate"/>
          </w:r>
          <w:r>
            <w:rPr>
              <w:rStyle w:val="16"/>
              <w:rFonts w:hint="eastAsia" w:ascii="黑体" w:hAnsi="黑体" w:eastAsia="黑体"/>
              <w:sz w:val="32"/>
              <w:szCs w:val="32"/>
            </w:rPr>
            <w:t>三、学习年限</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_Toc88037562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"_Toc88037563" </w:instrText>
          </w:r>
          <w:r>
            <w:fldChar w:fldCharType="separate"/>
          </w:r>
          <w:r>
            <w:rPr>
              <w:rStyle w:val="16"/>
              <w:rFonts w:hint="eastAsia" w:ascii="黑体" w:hAnsi="黑体" w:eastAsia="黑体"/>
              <w:sz w:val="32"/>
              <w:szCs w:val="32"/>
            </w:rPr>
            <w:t>四、职业面向</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_Toc88037563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"_Toc88037564" </w:instrText>
          </w:r>
          <w:r>
            <w:fldChar w:fldCharType="separate"/>
          </w:r>
          <w:r>
            <w:rPr>
              <w:rStyle w:val="16"/>
              <w:rFonts w:hint="eastAsia" w:ascii="黑体" w:hAnsi="黑体" w:eastAsia="黑体"/>
              <w:sz w:val="32"/>
              <w:szCs w:val="32"/>
            </w:rPr>
            <w:t>五、培养目标和培养规格</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_Toc88037564 \h </w:instrText>
          </w:r>
          <w:r>
            <w:rPr>
              <w:rFonts w:hint="eastAsia" w:ascii="黑体" w:hAnsi="黑体" w:eastAsia="黑体"/>
              <w:sz w:val="32"/>
              <w:szCs w:val="32"/>
            </w:rPr>
            <w:fldChar w:fldCharType="separate"/>
          </w:r>
          <w:r>
            <w:rPr>
              <w:rFonts w:hint="eastAsia" w:ascii="黑体" w:hAnsi="黑体" w:eastAsia="黑体"/>
              <w:sz w:val="32"/>
              <w:szCs w:val="32"/>
            </w:rPr>
            <w:t>1</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"_Toc88037565" </w:instrText>
          </w:r>
          <w:r>
            <w:fldChar w:fldCharType="separate"/>
          </w:r>
          <w:r>
            <w:rPr>
              <w:rStyle w:val="16"/>
              <w:rFonts w:hint="eastAsia" w:ascii="黑体" w:hAnsi="黑体" w:eastAsia="黑体"/>
              <w:sz w:val="32"/>
              <w:szCs w:val="32"/>
            </w:rPr>
            <w:t>六、课程设置及要求</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_Toc88037565 \h </w:instrText>
          </w:r>
          <w:r>
            <w:rPr>
              <w:rFonts w:hint="eastAsia" w:ascii="黑体" w:hAnsi="黑体" w:eastAsia="黑体"/>
              <w:sz w:val="32"/>
              <w:szCs w:val="32"/>
            </w:rPr>
            <w:fldChar w:fldCharType="separate"/>
          </w:r>
          <w:r>
            <w:rPr>
              <w:rFonts w:hint="eastAsia" w:ascii="黑体" w:hAnsi="黑体" w:eastAsia="黑体"/>
              <w:sz w:val="32"/>
              <w:szCs w:val="32"/>
            </w:rPr>
            <w:t>4</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"_Toc88037566" </w:instrText>
          </w:r>
          <w:r>
            <w:fldChar w:fldCharType="separate"/>
          </w:r>
          <w:r>
            <w:rPr>
              <w:rStyle w:val="16"/>
              <w:rFonts w:hint="eastAsia" w:ascii="黑体" w:hAnsi="黑体" w:eastAsia="黑体"/>
              <w:sz w:val="32"/>
              <w:szCs w:val="32"/>
            </w:rPr>
            <w:t>七、教学进程总体安排</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_Toc88037566 \h </w:instrText>
          </w:r>
          <w:r>
            <w:rPr>
              <w:rFonts w:hint="eastAsia" w:ascii="黑体" w:hAnsi="黑体" w:eastAsia="黑体"/>
              <w:sz w:val="32"/>
              <w:szCs w:val="32"/>
            </w:rPr>
            <w:fldChar w:fldCharType="separate"/>
          </w:r>
          <w:r>
            <w:rPr>
              <w:rFonts w:hint="eastAsia" w:ascii="黑体" w:hAnsi="黑体" w:eastAsia="黑体"/>
              <w:sz w:val="32"/>
              <w:szCs w:val="32"/>
            </w:rPr>
            <w:t>18</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"_Toc88037567" </w:instrText>
          </w:r>
          <w:r>
            <w:fldChar w:fldCharType="separate"/>
          </w:r>
          <w:r>
            <w:rPr>
              <w:rStyle w:val="16"/>
              <w:rFonts w:hint="eastAsia" w:ascii="黑体" w:hAnsi="黑体" w:eastAsia="黑体"/>
              <w:sz w:val="32"/>
              <w:szCs w:val="32"/>
            </w:rPr>
            <w:t>八、实施保障</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_Toc88037567 \h </w:instrText>
          </w:r>
          <w:r>
            <w:rPr>
              <w:rFonts w:hint="eastAsia" w:ascii="黑体" w:hAnsi="黑体" w:eastAsia="黑体"/>
              <w:sz w:val="32"/>
              <w:szCs w:val="32"/>
            </w:rPr>
            <w:fldChar w:fldCharType="separate"/>
          </w:r>
          <w:r>
            <w:rPr>
              <w:rFonts w:hint="eastAsia" w:ascii="黑体" w:hAnsi="黑体" w:eastAsia="黑体"/>
              <w:sz w:val="32"/>
              <w:szCs w:val="32"/>
            </w:rPr>
            <w:t>20</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黑体" w:hAnsi="黑体" w:eastAsia="黑体" w:cstheme="minorBidi"/>
              <w:kern w:val="2"/>
              <w:sz w:val="32"/>
              <w:szCs w:val="32"/>
            </w:rPr>
          </w:pPr>
          <w:r>
            <w:fldChar w:fldCharType="begin"/>
          </w:r>
          <w:r>
            <w:instrText xml:space="preserve"> HYPERLINK \l "_Toc88037568" </w:instrText>
          </w:r>
          <w:r>
            <w:fldChar w:fldCharType="separate"/>
          </w:r>
          <w:r>
            <w:rPr>
              <w:rStyle w:val="16"/>
              <w:rFonts w:hint="eastAsia" w:ascii="黑体" w:hAnsi="黑体" w:eastAsia="黑体"/>
              <w:sz w:val="32"/>
              <w:szCs w:val="32"/>
            </w:rPr>
            <w:t>九、毕业要求</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_Toc88037568 \h </w:instrText>
          </w:r>
          <w:r>
            <w:rPr>
              <w:rFonts w:hint="eastAsia" w:ascii="黑体" w:hAnsi="黑体" w:eastAsia="黑体"/>
              <w:sz w:val="32"/>
              <w:szCs w:val="32"/>
            </w:rPr>
            <w:fldChar w:fldCharType="separate"/>
          </w:r>
          <w:r>
            <w:rPr>
              <w:rFonts w:hint="eastAsia" w:ascii="黑体" w:hAnsi="黑体" w:eastAsia="黑体"/>
              <w:sz w:val="32"/>
              <w:szCs w:val="32"/>
            </w:rPr>
            <w:t>28</w:t>
          </w:r>
          <w:r>
            <w:rPr>
              <w:rFonts w:hint="eastAsia" w:ascii="黑体" w:hAnsi="黑体" w:eastAsia="黑体"/>
              <w:sz w:val="32"/>
              <w:szCs w:val="32"/>
            </w:rPr>
            <w:fldChar w:fldCharType="end"/>
          </w:r>
          <w:r>
            <w:rPr>
              <w:rFonts w:hint="eastAsia" w:ascii="黑体" w:hAnsi="黑体" w:eastAsia="黑体"/>
              <w:sz w:val="32"/>
              <w:szCs w:val="32"/>
            </w:rPr>
            <w:fldChar w:fldCharType="end"/>
          </w:r>
        </w:p>
        <w:p>
          <w:pPr>
            <w:pStyle w:val="9"/>
            <w:tabs>
              <w:tab w:val="right" w:leader="dot" w:pos="8296"/>
            </w:tabs>
            <w:rPr>
              <w:rFonts w:ascii="仿宋_GB2312" w:eastAsia="仿宋_GB2312" w:cstheme="minorBidi"/>
              <w:kern w:val="2"/>
              <w:sz w:val="32"/>
              <w:szCs w:val="32"/>
            </w:rPr>
          </w:pPr>
          <w:r>
            <w:fldChar w:fldCharType="begin"/>
          </w:r>
          <w:r>
            <w:instrText xml:space="preserve"> HYPERLINK \l "_Toc88037569" </w:instrText>
          </w:r>
          <w:r>
            <w:fldChar w:fldCharType="separate"/>
          </w:r>
          <w:r>
            <w:rPr>
              <w:rStyle w:val="16"/>
              <w:rFonts w:hint="eastAsia" w:ascii="黑体" w:hAnsi="黑体" w:eastAsia="黑体"/>
              <w:sz w:val="32"/>
              <w:szCs w:val="32"/>
            </w:rPr>
            <w:t>十、附录</w:t>
          </w:r>
          <w:r>
            <w:rPr>
              <w:rFonts w:hint="eastAsia" w:ascii="黑体" w:hAnsi="黑体" w:eastAsia="黑体"/>
              <w:sz w:val="32"/>
              <w:szCs w:val="32"/>
            </w:rPr>
            <w:tab/>
          </w:r>
          <w:r>
            <w:rPr>
              <w:rFonts w:hint="eastAsia" w:ascii="黑体" w:hAnsi="黑体" w:eastAsia="黑体"/>
              <w:sz w:val="32"/>
              <w:szCs w:val="32"/>
            </w:rPr>
            <w:fldChar w:fldCharType="begin"/>
          </w:r>
          <w:r>
            <w:rPr>
              <w:rFonts w:hint="eastAsia" w:ascii="黑体" w:hAnsi="黑体" w:eastAsia="黑体"/>
              <w:sz w:val="32"/>
              <w:szCs w:val="32"/>
            </w:rPr>
            <w:instrText xml:space="preserve"> PAGEREF _Toc88037569 \h </w:instrText>
          </w:r>
          <w:r>
            <w:rPr>
              <w:rFonts w:hint="eastAsia" w:ascii="黑体" w:hAnsi="黑体" w:eastAsia="黑体"/>
              <w:sz w:val="32"/>
              <w:szCs w:val="32"/>
            </w:rPr>
            <w:fldChar w:fldCharType="separate"/>
          </w:r>
          <w:r>
            <w:rPr>
              <w:rFonts w:hint="eastAsia" w:ascii="黑体" w:hAnsi="黑体" w:eastAsia="黑体"/>
              <w:sz w:val="32"/>
              <w:szCs w:val="32"/>
            </w:rPr>
            <w:t>28</w:t>
          </w:r>
          <w:r>
            <w:rPr>
              <w:rFonts w:hint="eastAsia" w:ascii="黑体" w:hAnsi="黑体" w:eastAsia="黑体"/>
              <w:sz w:val="32"/>
              <w:szCs w:val="32"/>
            </w:rPr>
            <w:fldChar w:fldCharType="end"/>
          </w:r>
          <w:r>
            <w:rPr>
              <w:rFonts w:hint="eastAsia" w:ascii="黑体" w:hAnsi="黑体" w:eastAsia="黑体"/>
              <w:sz w:val="32"/>
              <w:szCs w:val="32"/>
            </w:rPr>
            <w:fldChar w:fldCharType="end"/>
          </w:r>
        </w:p>
        <w:p>
          <w:r>
            <w:rPr>
              <w:rFonts w:hint="eastAsia" w:ascii="仿宋_GB2312" w:eastAsia="仿宋_GB2312" w:hAnsiTheme="minorHAnsi"/>
              <w:kern w:val="0"/>
              <w:sz w:val="32"/>
              <w:szCs w:val="32"/>
            </w:rPr>
            <w:fldChar w:fldCharType="end"/>
          </w:r>
        </w:p>
      </w:sdtContent>
    </w:sdt>
    <w:p>
      <w:pPr>
        <w:pStyle w:val="11"/>
        <w:spacing w:beforeLines="20" w:beforeAutospacing="0" w:afterLines="20" w:afterAutospacing="0" w:line="560" w:lineRule="exact"/>
        <w:ind w:firstLine="640" w:firstLineChars="200"/>
        <w:rPr>
          <w:rStyle w:val="20"/>
          <w:rFonts w:ascii="黑体" w:hAnsi="黑体" w:eastAsia="黑体"/>
          <w:sz w:val="32"/>
          <w:szCs w:val="32"/>
        </w:rPr>
      </w:pPr>
    </w:p>
    <w:p>
      <w:pPr>
        <w:pStyle w:val="11"/>
        <w:spacing w:beforeLines="20" w:beforeAutospacing="0" w:afterLines="20" w:afterAutospacing="0" w:line="560" w:lineRule="exact"/>
        <w:ind w:firstLine="640" w:firstLineChars="200"/>
        <w:rPr>
          <w:rStyle w:val="20"/>
          <w:rFonts w:ascii="黑体" w:hAnsi="黑体" w:eastAsia="黑体"/>
          <w:sz w:val="32"/>
          <w:szCs w:val="32"/>
        </w:rPr>
      </w:pPr>
    </w:p>
    <w:p>
      <w:pPr>
        <w:pStyle w:val="11"/>
        <w:spacing w:beforeLines="20" w:beforeAutospacing="0" w:afterLines="20" w:afterAutospacing="0" w:line="560" w:lineRule="exact"/>
        <w:ind w:firstLine="640" w:firstLineChars="200"/>
        <w:rPr>
          <w:rStyle w:val="20"/>
          <w:rFonts w:ascii="黑体" w:hAnsi="黑体" w:eastAsia="黑体"/>
          <w:sz w:val="32"/>
          <w:szCs w:val="32"/>
        </w:rPr>
      </w:pPr>
    </w:p>
    <w:p>
      <w:pPr>
        <w:pStyle w:val="11"/>
        <w:spacing w:beforeLines="20" w:beforeAutospacing="0" w:afterLines="20" w:afterAutospacing="0" w:line="560" w:lineRule="exact"/>
        <w:ind w:firstLine="640" w:firstLineChars="200"/>
        <w:rPr>
          <w:rStyle w:val="20"/>
          <w:rFonts w:ascii="黑体" w:hAnsi="黑体" w:eastAsia="黑体"/>
          <w:sz w:val="32"/>
          <w:szCs w:val="32"/>
        </w:rPr>
      </w:pPr>
    </w:p>
    <w:p>
      <w:pPr>
        <w:pStyle w:val="11"/>
        <w:spacing w:beforeLines="20" w:beforeAutospacing="0" w:afterLines="20" w:afterAutospacing="0" w:line="560" w:lineRule="exact"/>
        <w:ind w:firstLine="640" w:firstLineChars="200"/>
        <w:rPr>
          <w:rStyle w:val="20"/>
          <w:rFonts w:ascii="黑体" w:hAnsi="黑体" w:eastAsia="黑体"/>
          <w:sz w:val="32"/>
          <w:szCs w:val="32"/>
        </w:rPr>
      </w:pPr>
    </w:p>
    <w:p>
      <w:pPr>
        <w:pStyle w:val="11"/>
        <w:spacing w:beforeLines="20" w:beforeAutospacing="0" w:afterLines="20" w:afterAutospacing="0" w:line="560" w:lineRule="exact"/>
        <w:rPr>
          <w:rStyle w:val="20"/>
          <w:rFonts w:ascii="黑体" w:hAnsi="黑体" w:eastAsia="黑体"/>
          <w:sz w:val="32"/>
          <w:szCs w:val="32"/>
        </w:rPr>
      </w:pPr>
    </w:p>
    <w:p>
      <w:pPr>
        <w:pStyle w:val="11"/>
        <w:spacing w:beforeLines="20" w:beforeAutospacing="0" w:afterLines="20" w:afterAutospacing="0" w:line="560" w:lineRule="exact"/>
        <w:ind w:firstLine="640" w:firstLineChars="200"/>
        <w:rPr>
          <w:rStyle w:val="20"/>
          <w:rFonts w:ascii="黑体" w:hAnsi="黑体" w:eastAsia="黑体"/>
          <w:sz w:val="32"/>
          <w:szCs w:val="32"/>
        </w:rPr>
        <w:sectPr>
          <w:headerReference r:id="rId3" w:type="default"/>
          <w:pgSz w:w="11906" w:h="16838"/>
          <w:pgMar w:top="2098" w:right="1474" w:bottom="1985" w:left="1588" w:header="851" w:footer="992" w:gutter="0"/>
          <w:cols w:space="425" w:num="1"/>
          <w:docGrid w:type="lines" w:linePitch="312" w:charSpace="0"/>
        </w:sectPr>
      </w:pPr>
      <w:bookmarkStart w:id="1" w:name="_Toc88037560"/>
    </w:p>
    <w:p>
      <w:pPr>
        <w:pStyle w:val="11"/>
        <w:spacing w:beforeLines="20" w:beforeAutospacing="0" w:afterLines="20" w:afterAutospacing="0" w:line="560" w:lineRule="exact"/>
        <w:ind w:firstLine="640" w:firstLineChars="200"/>
        <w:rPr>
          <w:rStyle w:val="20"/>
          <w:rFonts w:eastAsia="黑体"/>
          <w:bCs w:val="0"/>
          <w:sz w:val="32"/>
          <w:szCs w:val="32"/>
        </w:rPr>
      </w:pPr>
      <w:r>
        <w:rPr>
          <w:rStyle w:val="20"/>
          <w:rFonts w:hint="eastAsia" w:ascii="黑体" w:hAnsi="黑体" w:eastAsia="黑体"/>
          <w:sz w:val="32"/>
          <w:szCs w:val="32"/>
        </w:rPr>
        <w:t>一、</w:t>
      </w:r>
      <w:bookmarkEnd w:id="1"/>
      <w:r>
        <w:rPr>
          <w:rStyle w:val="20"/>
          <w:rFonts w:hint="eastAsia" w:eastAsia="黑体"/>
          <w:bCs w:val="0"/>
          <w:sz w:val="32"/>
          <w:szCs w:val="32"/>
        </w:rPr>
        <w:t>专业名称及代码</w:t>
      </w:r>
    </w:p>
    <w:p>
      <w:pPr>
        <w:pStyle w:val="11"/>
        <w:spacing w:beforeLines="20" w:beforeAutospacing="0" w:afterLines="20" w:afterAutospacing="0" w:line="560" w:lineRule="exact"/>
        <w:ind w:firstLine="320" w:firstLineChars="1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物流服务与管理专业 730801</w:t>
      </w:r>
    </w:p>
    <w:p>
      <w:pPr>
        <w:pStyle w:val="11"/>
        <w:spacing w:beforeLines="20" w:beforeAutospacing="0" w:afterLines="20" w:afterAutospacing="0" w:line="560" w:lineRule="exact"/>
        <w:ind w:firstLine="640" w:firstLineChars="200"/>
        <w:rPr>
          <w:rStyle w:val="20"/>
          <w:rFonts w:ascii="黑体" w:hAnsi="黑体" w:eastAsia="黑体"/>
          <w:sz w:val="32"/>
          <w:szCs w:val="32"/>
        </w:rPr>
      </w:pPr>
      <w:bookmarkStart w:id="2" w:name="_Toc88037561"/>
      <w:r>
        <w:rPr>
          <w:rStyle w:val="20"/>
          <w:rFonts w:hint="eastAsia" w:ascii="黑体" w:hAnsi="黑体" w:eastAsia="黑体"/>
          <w:sz w:val="32"/>
          <w:szCs w:val="32"/>
        </w:rPr>
        <w:t>二、入学要求</w:t>
      </w:r>
      <w:bookmarkEnd w:id="2"/>
    </w:p>
    <w:p>
      <w:pPr>
        <w:pStyle w:val="11"/>
        <w:spacing w:beforeLines="20" w:beforeAutospacing="0" w:afterLines="20" w:afterAutospacing="0" w:line="560" w:lineRule="exact"/>
        <w:ind w:firstLine="320" w:firstLineChars="1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初中毕业生或具有同等学力者。</w:t>
      </w:r>
    </w:p>
    <w:p>
      <w:pPr>
        <w:pStyle w:val="11"/>
        <w:spacing w:beforeLines="20" w:beforeAutospacing="0" w:afterLines="20" w:afterAutospacing="0" w:line="560" w:lineRule="exact"/>
        <w:ind w:firstLine="640" w:firstLineChars="200"/>
        <w:rPr>
          <w:rStyle w:val="20"/>
          <w:rFonts w:eastAsia="黑体"/>
          <w:bCs w:val="0"/>
          <w:sz w:val="32"/>
          <w:szCs w:val="32"/>
        </w:rPr>
      </w:pPr>
      <w:bookmarkStart w:id="3" w:name="_Toc88037562"/>
      <w:r>
        <w:rPr>
          <w:rStyle w:val="20"/>
          <w:rFonts w:hint="eastAsia" w:ascii="黑体" w:hAnsi="黑体" w:eastAsia="黑体"/>
          <w:sz w:val="32"/>
          <w:szCs w:val="32"/>
        </w:rPr>
        <w:t>三、</w:t>
      </w:r>
      <w:r>
        <w:rPr>
          <w:rStyle w:val="20"/>
          <w:rFonts w:hint="eastAsia" w:eastAsia="黑体"/>
          <w:bCs w:val="0"/>
          <w:sz w:val="32"/>
          <w:szCs w:val="32"/>
        </w:rPr>
        <w:t>学习年限</w:t>
      </w:r>
      <w:bookmarkEnd w:id="3"/>
    </w:p>
    <w:p>
      <w:pPr>
        <w:pStyle w:val="11"/>
        <w:spacing w:beforeLines="20" w:beforeAutospacing="0" w:afterLines="2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3年</w:t>
      </w:r>
    </w:p>
    <w:p>
      <w:pPr>
        <w:pStyle w:val="11"/>
        <w:spacing w:beforeLines="20" w:beforeAutospacing="0" w:afterLines="20" w:afterAutospacing="0" w:line="560" w:lineRule="exact"/>
        <w:ind w:firstLine="640" w:firstLineChars="200"/>
        <w:rPr>
          <w:rStyle w:val="20"/>
          <w:rFonts w:eastAsia="黑体"/>
          <w:bCs w:val="0"/>
          <w:sz w:val="32"/>
          <w:szCs w:val="32"/>
        </w:rPr>
      </w:pPr>
      <w:bookmarkStart w:id="4" w:name="_Toc88037563"/>
      <w:r>
        <w:rPr>
          <w:rStyle w:val="20"/>
          <w:rFonts w:hint="eastAsia" w:ascii="黑体" w:hAnsi="黑体" w:eastAsia="黑体"/>
          <w:sz w:val="32"/>
          <w:szCs w:val="32"/>
        </w:rPr>
        <w:t>四、</w:t>
      </w:r>
      <w:r>
        <w:rPr>
          <w:rStyle w:val="20"/>
          <w:rFonts w:hint="eastAsia" w:eastAsia="黑体"/>
          <w:bCs w:val="0"/>
          <w:sz w:val="32"/>
          <w:szCs w:val="32"/>
        </w:rPr>
        <w:t>职业面向</w:t>
      </w:r>
      <w:bookmarkEnd w:id="4"/>
    </w:p>
    <w:tbl>
      <w:tblPr>
        <w:tblStyle w:val="13"/>
        <w:tblW w:w="8574"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72"/>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2272" w:type="dxa"/>
            <w:vAlign w:val="center"/>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专门化方向</w:t>
            </w:r>
          </w:p>
        </w:tc>
        <w:tc>
          <w:tcPr>
            <w:tcW w:w="5246" w:type="dxa"/>
            <w:vAlign w:val="center"/>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2272"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仓储与配送</w:t>
            </w:r>
          </w:p>
        </w:tc>
        <w:tc>
          <w:tcPr>
            <w:tcW w:w="5246"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仓管员、配送员、采购员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2272"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港口物流</w:t>
            </w:r>
          </w:p>
        </w:tc>
        <w:tc>
          <w:tcPr>
            <w:tcW w:w="5246" w:type="dxa"/>
          </w:tcPr>
          <w:p>
            <w:pPr>
              <w:pStyle w:val="11"/>
              <w:spacing w:beforeLines="20" w:beforeAutospacing="0" w:afterLines="20" w:afterAutospacing="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装卸员、信息员、理货员</w:t>
            </w:r>
          </w:p>
        </w:tc>
      </w:tr>
    </w:tbl>
    <w:p>
      <w:pPr>
        <w:pStyle w:val="11"/>
        <w:spacing w:beforeLines="20" w:beforeAutospacing="0" w:afterLines="20" w:afterAutospacing="0" w:line="560" w:lineRule="exact"/>
        <w:ind w:firstLine="640" w:firstLineChars="200"/>
        <w:rPr>
          <w:rStyle w:val="20"/>
          <w:rFonts w:eastAsia="黑体"/>
          <w:bCs w:val="0"/>
          <w:sz w:val="32"/>
          <w:szCs w:val="32"/>
        </w:rPr>
      </w:pPr>
      <w:bookmarkStart w:id="5" w:name="_Toc88037564"/>
      <w:r>
        <w:rPr>
          <w:rStyle w:val="20"/>
          <w:rFonts w:hint="eastAsia" w:ascii="黑体" w:hAnsi="黑体" w:eastAsia="黑体"/>
          <w:sz w:val="32"/>
          <w:szCs w:val="32"/>
        </w:rPr>
        <w:t>五、</w:t>
      </w:r>
      <w:r>
        <w:rPr>
          <w:rStyle w:val="20"/>
          <w:rFonts w:hint="eastAsia" w:eastAsia="黑体"/>
          <w:bCs w:val="0"/>
          <w:sz w:val="32"/>
          <w:szCs w:val="32"/>
        </w:rPr>
        <w:t>培养目标和培养规格</w:t>
      </w:r>
      <w:bookmarkEnd w:id="5"/>
    </w:p>
    <w:p>
      <w:pPr>
        <w:spacing w:line="560" w:lineRule="exact"/>
        <w:ind w:left="481"/>
        <w:rPr>
          <w:rFonts w:ascii="楷体_GB2312" w:eastAsia="楷体_GB2312"/>
          <w:b/>
          <w:sz w:val="32"/>
          <w:szCs w:val="32"/>
        </w:rPr>
      </w:pPr>
      <w:r>
        <w:rPr>
          <w:rFonts w:hint="eastAsia" w:ascii="楷体_GB2312" w:eastAsia="楷体_GB2312"/>
          <w:b/>
          <w:sz w:val="32"/>
          <w:szCs w:val="32"/>
        </w:rPr>
        <w:t>（一）培养目标</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主要服务东盟经济圈，面向生产、流通企业，培养具备储存、运输、配送、装卸搬运、包装、流通加工等业务操作能力，能从事货物出入库、配货、配装、调度、理货、采购、信息处理、客户服务等工作，具有较强实际操作和自主学习与创业意识的技能人才。</w:t>
      </w:r>
    </w:p>
    <w:p>
      <w:pPr>
        <w:spacing w:line="560" w:lineRule="exact"/>
        <w:ind w:left="481"/>
        <w:rPr>
          <w:rFonts w:ascii="楷体_GB2312" w:eastAsia="楷体_GB2312"/>
          <w:b/>
          <w:sz w:val="32"/>
          <w:szCs w:val="32"/>
        </w:rPr>
      </w:pPr>
      <w:r>
        <w:rPr>
          <w:rFonts w:hint="eastAsia" w:ascii="楷体_GB2312" w:eastAsia="楷体_GB2312"/>
          <w:b/>
          <w:sz w:val="32"/>
          <w:szCs w:val="32"/>
        </w:rPr>
        <w:t>（二）培养规格</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本专业所培养的人才应具有以下职业能力：</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1.德育与文化知识要求</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（1）树立正确的世界观、人生观和价值观，具有爱国主义、集体主义、社会主义思想；遵守国家法律、法规，具有良好的职业道德和行为规范；具备较强的工作执行力、责任心以及团队合作意识；</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（2）掌握公共礼仪知识，能遵守公共场所礼仪规范,能正确处理人际关系；在日常生活学习中养成良好的安全习惯； </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（3）具有一定的文学修养，具备日常生活和职业岗位需要的阅读能力、写作能力、口语交际能力及文学欣赏能力；</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（4）掌握初等数学知识，能进行简单的数学运算，并能应用数学知识解决工作实际问题；</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（5）掌握日常沟通英语词汇、语法，能够听懂简单的日常英语并进行简单的口语交流，能识别常用英文标志；</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（6）掌握常用计算机操作知识，能熟练运用常用办公软件，较好的完成文字录入、文档处理、数据统计等工作；</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（7）具有健康的体魄和健全的心理，具备胜任工作的体能素质和应对一定工作压力的心理素质；</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（8）具有一定的艺术欣赏能力，了解不同艺术类型的表现形式，树立正确的审美意识。</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2.职业能力培养目标</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（1）具有物流设备管理的意识，具备规范操作常用物流设备及物流技术运用的能力。</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（2）具备发现并处理物流业务过程中突发事件的能力，能搜集和处理物流信息。</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（3）具备较强物流营销及快速响应能力，能使用</w:t>
      </w:r>
      <w:r>
        <w:fldChar w:fldCharType="begin"/>
      </w:r>
      <w:r>
        <w:instrText xml:space="preserve"> HYPERLINK "http://baike.baidu.com/view/856662.htm" \t "_blank" </w:instrText>
      </w:r>
      <w:r>
        <w:fldChar w:fldCharType="separate"/>
      </w:r>
      <w:r>
        <w:rPr>
          <w:rFonts w:hint="eastAsia" w:ascii="仿宋_GB2312" w:hAnsi="仿宋_GB2312" w:eastAsia="仿宋_GB2312" w:cs="仿宋_GB2312"/>
          <w:color w:val="000000"/>
          <w:kern w:val="0"/>
          <w:sz w:val="32"/>
          <w:szCs w:val="32"/>
        </w:rPr>
        <w:t>定性预测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和定量预测方法进行简单的市场预测。</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（4）具有服务意识与成本意识，能应用CRM对客户进行服务与管理，通过对物流成本构成的分析，降低企业物流成本。</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（5）能将客户使用电话、传真、网络等多种订货方法对订单进行处理并转化成业务单据。</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仓储与配送方向：</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1.具备进行安全和质量管理能力，能按规范操作入库、出库等业务流程。</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2.能根据货物性质，运用科学方法进行养护与保管。</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3.能根据企业指令，完成物资采购任务，并能进行生产现场管理及业务流程改善。</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4.具备盘点、拣选、补货、配货、送货等作业能力。 </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5.能运用ABC分类法、EOQ等方法控制库存。</w:t>
      </w:r>
    </w:p>
    <w:p>
      <w:pPr>
        <w:widowControl/>
        <w:shd w:val="clear" w:color="auto" w:fill="FFFFFF"/>
        <w:spacing w:line="560" w:lineRule="exact"/>
        <w:ind w:firstLine="640" w:firstLineChars="200"/>
        <w:jc w:val="left"/>
        <w:rPr>
          <w:rFonts w:ascii="仿宋_GB2312" w:hAnsi="仿宋_GB2312" w:eastAsia="仿宋_GB2312" w:cs="仿宋_GB2312"/>
          <w:b w:val="0"/>
          <w:bCs/>
          <w:color w:val="000000"/>
          <w:kern w:val="0"/>
          <w:sz w:val="32"/>
          <w:szCs w:val="32"/>
        </w:rPr>
      </w:pPr>
      <w:r>
        <w:rPr>
          <w:rFonts w:hint="eastAsia" w:ascii="仿宋_GB2312" w:hAnsi="宋体" w:eastAsia="仿宋_GB2312"/>
          <w:b w:val="0"/>
          <w:bCs/>
          <w:sz w:val="32"/>
          <w:szCs w:val="32"/>
        </w:rPr>
        <w:t>港口物流方向：</w:t>
      </w:r>
      <w:r>
        <w:rPr>
          <w:rFonts w:hint="eastAsia" w:ascii="仿宋_GB2312" w:hAnsi="仿宋_GB2312" w:eastAsia="仿宋_GB2312" w:cs="仿宋_GB2312"/>
          <w:b w:val="0"/>
          <w:bCs/>
          <w:color w:val="000000"/>
          <w:kern w:val="0"/>
          <w:sz w:val="32"/>
          <w:szCs w:val="32"/>
        </w:rPr>
        <w:t xml:space="preserve"> </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1.认识集装箱设备的结构，具备简单的集装箱使用量的运算能力。</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2.根据货物配积载原理，结合不同的货物种类，能正确装载集装箱。</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3.具备港口生产、港口货物、港口设备、集装箱设备认知的能力。</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4.能准确填制并审核场站收据、订舱单、设备交接单、装箱单、提单、报关单、报检单。</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5.具备处理集装箱、散杂、件杂货进出口业务及单证流转的能力。</w:t>
      </w:r>
    </w:p>
    <w:p>
      <w:pPr>
        <w:spacing w:line="560" w:lineRule="exact"/>
        <w:ind w:firstLine="627" w:firstLineChars="196"/>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职业资格证书要求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85"/>
        <w:gridCol w:w="214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00" w:type="dxa"/>
            <w:shd w:val="clear" w:color="auto" w:fill="C0C0C0"/>
            <w:vAlign w:val="center"/>
          </w:tcPr>
          <w:p>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名  称</w:t>
            </w:r>
          </w:p>
        </w:tc>
        <w:tc>
          <w:tcPr>
            <w:tcW w:w="1885" w:type="dxa"/>
            <w:shd w:val="clear" w:color="auto" w:fill="C0C0C0"/>
            <w:vAlign w:val="center"/>
          </w:tcPr>
          <w:p>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等级</w:t>
            </w:r>
          </w:p>
        </w:tc>
        <w:tc>
          <w:tcPr>
            <w:tcW w:w="2141" w:type="dxa"/>
            <w:shd w:val="clear" w:color="auto" w:fill="C0C0C0"/>
            <w:vAlign w:val="center"/>
          </w:tcPr>
          <w:p>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颁证单位</w:t>
            </w:r>
          </w:p>
        </w:tc>
        <w:tc>
          <w:tcPr>
            <w:tcW w:w="2012" w:type="dxa"/>
            <w:shd w:val="clear" w:color="auto" w:fill="C0C0C0"/>
            <w:vAlign w:val="center"/>
          </w:tcPr>
          <w:p>
            <w:pPr>
              <w:pStyle w:val="5"/>
              <w:adjustRightInd w:val="0"/>
              <w:snapToGrid w:val="0"/>
              <w:spacing w:line="440" w:lineRule="exact"/>
              <w:jc w:val="center"/>
              <w:rPr>
                <w:rFonts w:ascii="仿宋_GB2312" w:hAnsi="宋体" w:eastAsia="仿宋_GB2312"/>
                <w:bCs/>
                <w:sz w:val="32"/>
                <w:szCs w:val="32"/>
              </w:rPr>
            </w:pPr>
            <w:r>
              <w:rPr>
                <w:rFonts w:hint="eastAsia" w:ascii="仿宋_GB2312" w:hAnsi="宋体" w:eastAsia="仿宋_GB2312"/>
                <w:bCs/>
                <w:sz w:val="32"/>
                <w:szCs w:val="32"/>
              </w:rPr>
              <w:t>性质</w:t>
            </w:r>
          </w:p>
          <w:p>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bCs/>
                <w:sz w:val="32"/>
                <w:szCs w:val="32"/>
              </w:rPr>
              <w:t>（必考/选考）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vAlign w:val="center"/>
          </w:tcPr>
          <w:p>
            <w:pPr>
              <w:spacing w:line="440" w:lineRule="exact"/>
              <w:ind w:firstLine="627" w:firstLineChars="196"/>
              <w:jc w:val="left"/>
              <w:rPr>
                <w:rFonts w:ascii="仿宋_GB2312" w:hAnsi="宋体" w:eastAsia="仿宋_GB2312"/>
                <w:sz w:val="32"/>
                <w:szCs w:val="32"/>
              </w:rPr>
            </w:pPr>
            <w:r>
              <w:rPr>
                <w:rFonts w:hint="eastAsia" w:ascii="仿宋_GB2312" w:hAnsi="宋体" w:eastAsia="仿宋_GB2312"/>
                <w:sz w:val="32"/>
                <w:szCs w:val="32"/>
              </w:rPr>
              <w:t>物流员</w:t>
            </w:r>
          </w:p>
        </w:tc>
        <w:tc>
          <w:tcPr>
            <w:tcW w:w="1885" w:type="dxa"/>
            <w:vAlign w:val="center"/>
          </w:tcPr>
          <w:p>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四级</w:t>
            </w:r>
          </w:p>
        </w:tc>
        <w:tc>
          <w:tcPr>
            <w:tcW w:w="2141"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人力资源和社会保障部</w:t>
            </w:r>
          </w:p>
        </w:tc>
        <w:tc>
          <w:tcPr>
            <w:tcW w:w="2012"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00"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统计从业资格证书</w:t>
            </w:r>
          </w:p>
        </w:tc>
        <w:tc>
          <w:tcPr>
            <w:tcW w:w="1885" w:type="dxa"/>
            <w:vAlign w:val="center"/>
          </w:tcPr>
          <w:p>
            <w:pPr>
              <w:pStyle w:val="5"/>
              <w:adjustRightInd w:val="0"/>
              <w:snapToGrid w:val="0"/>
              <w:spacing w:line="440" w:lineRule="exact"/>
              <w:jc w:val="center"/>
              <w:rPr>
                <w:rFonts w:ascii="仿宋_GB2312" w:hAnsi="宋体" w:eastAsia="仿宋_GB2312"/>
                <w:sz w:val="32"/>
                <w:szCs w:val="32"/>
              </w:rPr>
            </w:pPr>
          </w:p>
        </w:tc>
        <w:tc>
          <w:tcPr>
            <w:tcW w:w="2141"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广西壮族自治区统计局</w:t>
            </w:r>
          </w:p>
        </w:tc>
        <w:tc>
          <w:tcPr>
            <w:tcW w:w="2012"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00"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叉车司机</w:t>
            </w:r>
          </w:p>
        </w:tc>
        <w:tc>
          <w:tcPr>
            <w:tcW w:w="1885" w:type="dxa"/>
            <w:vAlign w:val="center"/>
          </w:tcPr>
          <w:p>
            <w:pPr>
              <w:pStyle w:val="5"/>
              <w:adjustRightInd w:val="0"/>
              <w:snapToGrid w:val="0"/>
              <w:spacing w:line="440" w:lineRule="exact"/>
              <w:jc w:val="center"/>
              <w:rPr>
                <w:rFonts w:ascii="仿宋_GB2312" w:hAnsi="宋体" w:eastAsia="仿宋_GB2312"/>
                <w:sz w:val="32"/>
                <w:szCs w:val="32"/>
              </w:rPr>
            </w:pPr>
            <w:r>
              <w:rPr>
                <w:rFonts w:hint="eastAsia" w:ascii="仿宋_GB2312" w:hAnsi="宋体" w:eastAsia="仿宋_GB2312"/>
                <w:sz w:val="32"/>
                <w:szCs w:val="32"/>
              </w:rPr>
              <w:t>中华人民共和国特种设备作业人员证</w:t>
            </w:r>
          </w:p>
        </w:tc>
        <w:tc>
          <w:tcPr>
            <w:tcW w:w="2141"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南宁市质量技术监督局</w:t>
            </w:r>
          </w:p>
        </w:tc>
        <w:tc>
          <w:tcPr>
            <w:tcW w:w="2012" w:type="dxa"/>
            <w:vAlign w:val="center"/>
          </w:tcPr>
          <w:p>
            <w:pPr>
              <w:spacing w:line="440" w:lineRule="exact"/>
              <w:jc w:val="center"/>
              <w:rPr>
                <w:rFonts w:ascii="仿宋_GB2312" w:hAnsi="宋体" w:eastAsia="仿宋_GB2312"/>
                <w:sz w:val="32"/>
                <w:szCs w:val="32"/>
              </w:rPr>
            </w:pPr>
            <w:r>
              <w:rPr>
                <w:rFonts w:hint="eastAsia" w:ascii="仿宋_GB2312" w:hAnsi="宋体" w:eastAsia="仿宋_GB2312"/>
                <w:sz w:val="32"/>
                <w:szCs w:val="32"/>
              </w:rPr>
              <w:t>选考</w:t>
            </w:r>
          </w:p>
        </w:tc>
      </w:tr>
    </w:tbl>
    <w:p>
      <w:pPr>
        <w:pStyle w:val="11"/>
        <w:numPr>
          <w:ilvl w:val="0"/>
          <w:numId w:val="1"/>
        </w:numPr>
        <w:spacing w:beforeLines="20" w:beforeAutospacing="0" w:afterLines="20" w:afterAutospacing="0" w:line="560" w:lineRule="exact"/>
        <w:ind w:firstLine="960" w:firstLineChars="300"/>
        <w:rPr>
          <w:rStyle w:val="20"/>
          <w:rFonts w:eastAsia="黑体"/>
          <w:bCs w:val="0"/>
          <w:sz w:val="32"/>
          <w:szCs w:val="32"/>
        </w:rPr>
      </w:pPr>
      <w:bookmarkStart w:id="6" w:name="_Toc88037565"/>
      <w:r>
        <w:rPr>
          <w:rStyle w:val="20"/>
          <w:rFonts w:hint="eastAsia" w:eastAsia="黑体"/>
          <w:bCs w:val="0"/>
          <w:sz w:val="32"/>
          <w:szCs w:val="32"/>
        </w:rPr>
        <w:t>课程设置及要求</w:t>
      </w:r>
      <w:bookmarkEnd w:id="6"/>
    </w:p>
    <w:p>
      <w:pPr>
        <w:pStyle w:val="11"/>
        <w:spacing w:beforeLines="20" w:beforeAutospacing="0" w:afterLines="20" w:afterAutospacing="0" w:line="560" w:lineRule="exact"/>
        <w:rPr>
          <w:rStyle w:val="20"/>
          <w:rFonts w:eastAsia="黑体"/>
          <w:bCs w:val="0"/>
          <w:sz w:val="32"/>
          <w:szCs w:val="32"/>
        </w:rPr>
      </w:pPr>
      <w:r>
        <w:rPr>
          <w:rStyle w:val="20"/>
          <w:rFonts w:hint="eastAsia" w:eastAsia="黑体"/>
          <w:bCs w:val="0"/>
          <w:sz w:val="32"/>
          <w:szCs w:val="32"/>
        </w:rPr>
        <w:t xml:space="preserve">      </w:t>
      </w:r>
      <w:r>
        <w:rPr>
          <w:rFonts w:hint="eastAsia" w:ascii="仿宋_GB2312" w:eastAsia="仿宋_GB2312"/>
          <w:kern w:val="2"/>
          <w:sz w:val="32"/>
          <w:szCs w:val="32"/>
        </w:rPr>
        <w:t>本专业开设课程包括文化基础课 专业课（专业核心课/专业技能课）综合实训课。</w:t>
      </w:r>
    </w:p>
    <w:p>
      <w:pPr>
        <w:pStyle w:val="18"/>
        <w:spacing w:line="560" w:lineRule="exact"/>
        <w:ind w:firstLine="643" w:firstLineChars="200"/>
        <w:rPr>
          <w:rFonts w:ascii="楷体_GB2312" w:eastAsia="楷体_GB2312"/>
          <w:b/>
          <w:sz w:val="32"/>
          <w:szCs w:val="32"/>
        </w:rPr>
      </w:pPr>
      <w:r>
        <w:rPr>
          <w:rFonts w:hint="eastAsia" w:ascii="楷体_GB2312" w:eastAsia="楷体_GB2312"/>
          <w:b/>
          <w:sz w:val="32"/>
          <w:szCs w:val="32"/>
        </w:rPr>
        <w:t>（一）公共基础课程</w:t>
      </w:r>
    </w:p>
    <w:tbl>
      <w:tblPr>
        <w:tblStyle w:val="13"/>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28"/>
        <w:gridCol w:w="945"/>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11" w:type="dxa"/>
            <w:vAlign w:val="center"/>
          </w:tcPr>
          <w:p>
            <w:pPr>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课程类别</w:t>
            </w:r>
          </w:p>
        </w:tc>
        <w:tc>
          <w:tcPr>
            <w:tcW w:w="1228" w:type="dxa"/>
            <w:vAlign w:val="center"/>
          </w:tcPr>
          <w:p>
            <w:pPr>
              <w:pStyle w:val="11"/>
              <w:spacing w:beforeLines="20" w:beforeAutospacing="0" w:afterLines="20" w:afterAutospacing="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课程名称</w:t>
            </w:r>
          </w:p>
        </w:tc>
        <w:tc>
          <w:tcPr>
            <w:tcW w:w="945" w:type="dxa"/>
            <w:vAlign w:val="center"/>
          </w:tcPr>
          <w:p>
            <w:pPr>
              <w:pStyle w:val="11"/>
              <w:spacing w:beforeLines="20" w:beforeAutospacing="0" w:afterLines="20" w:afterAutospacing="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课时数</w:t>
            </w:r>
          </w:p>
        </w:tc>
        <w:tc>
          <w:tcPr>
            <w:tcW w:w="5113" w:type="dxa"/>
            <w:vAlign w:val="center"/>
          </w:tcPr>
          <w:p>
            <w:pPr>
              <w:pStyle w:val="11"/>
              <w:spacing w:beforeLines="20" w:beforeAutospacing="0" w:afterLines="20" w:afterAutospacing="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课程目标、主要内容和教学要求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11" w:type="dxa"/>
            <w:vMerge w:val="restart"/>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文化基础课</w:t>
            </w: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是中等职业学校学生必修的一门文化基础课。本课程使学生科学地把握社会主义的本质，真正认清社会主义初级阶段的基本国情，坚定中国特色社会主义的理想和信念。使学生学会运用中国化的马克思主义言立场、观点和方法分析问题和解决问题，增强学生投身于改革开放和社会主义现代化建设的自觉性、主动性和创造性，成为中国特色社会主义事业的合格建设者和可靠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心理健康与职业生涯</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依据《中等职业学校思想政治课程标准》开设，并与专业实际行业发展密切结合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职业道德与法治</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职业道德与法制是中等职业学校学生必修的一门德育课。本课程以邓小平理论、“三个代表”重要思想和科学发展观为指导，对学生进行职业道德教育和法制教育。其任务是提高学生的职业道德素质和法律素质，引导学生树立社会主义荣辱观，增强社会主义法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哲学与人生</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依据《中等职业学校思想政治课程标准》开设，并与专业实际行业发展密切结合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语文</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c>
          <w:tcPr>
            <w:tcW w:w="5113" w:type="dxa"/>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语文是中等职业学校学生必修的一门文化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数学</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c>
          <w:tcPr>
            <w:tcW w:w="5113" w:type="dxa"/>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数学是中等职业学校学生必修的一门文化基础课。本课程的任务是：使学生掌握必要的数学基础知识，具备必需的相关技能与能力，为学习专业知识、掌握职业技能、继续学习和终身发展奠定基础。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英语</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c>
          <w:tcPr>
            <w:tcW w:w="5113" w:type="dxa"/>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英语是中等职业学校学生必修的一门文化基础课。本课程的任务是：使学生掌握一定的英语基础知识和基本技能，培养学生在日常生活和职业场景中的英语应用能力；培养学生的文化意识，提高学生的思想品德修养和文化素养；为学生的职业生涯、继续学习和终身发展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物理</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45</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依据《中等职业学校物理教学大纲》开设选修，并注重在职业模块的教学内容中体现专业特色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化学</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依据《中等职业学校化学教学大纲》开设选修，并注重在职业模块的教学内容中体现专业特色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72</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信息技术是中等职业学校学生必修的一门文化基础课。本课程的任务是：使学生掌握必备的及新技术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体育与健康</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144</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体育是中等职业学校学生必修的一门文化基础课。本课程的任务是：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社会适应能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公共艺术</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依据《中等职业学校公共艺术教学大纲》开设，并与专业实际和行业发展密切结合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中华传统优秀文化</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依据《中等职业学校中华传统优秀文化教学大纲》开设，并注重在职业模块的教学内容中体现专业特色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历史</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36</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历史是中等职业学校学生必修的一门文化基础课。本课程的任务是：通过学生学习中国历史和世界历史，使学生了解中国和世界的发展历史，引导学生树立正确的世界观、人生观和价值观，增强文化自觉与文化自信，培养学生的爱国主义精神和世界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劳动教育</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5113"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依据《中等职业学校劳动教育教学大纲》开设，并与专业实际和行业发展密切结合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restart"/>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专业核心课</w:t>
            </w:r>
          </w:p>
          <w:p>
            <w:pPr>
              <w:spacing w:line="440" w:lineRule="exact"/>
              <w:jc w:val="center"/>
              <w:rPr>
                <w:rFonts w:ascii="仿宋_GB2312" w:hAnsi="仿宋_GB2312" w:eastAsia="仿宋_GB2312" w:cs="仿宋_GB2312"/>
                <w:bCs/>
                <w:sz w:val="32"/>
                <w:szCs w:val="32"/>
              </w:rPr>
            </w:pPr>
          </w:p>
        </w:tc>
        <w:tc>
          <w:tcPr>
            <w:tcW w:w="1228" w:type="dxa"/>
            <w:vAlign w:val="center"/>
          </w:tcPr>
          <w:p>
            <w:pPr>
              <w:widowControl/>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物流概论</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64</w:t>
            </w:r>
          </w:p>
        </w:tc>
        <w:tc>
          <w:tcPr>
            <w:tcW w:w="5113"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课程以物流的基本概念、物流类型、物流的基本活动、物流辅助作业、物流技术基础、物流管理组织和物流综合管理等方面的内容为线索，使学生能识记物流管理产生、运作和发展的背景，使学生在学习这门课程后，不仅对物流的基础知识有所了解，而且在掌握一定的物流知识后，可以为学习后面系列专业的物流课程打下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widowControl/>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物流装备认知与操作</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64</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不同货物类型，选择不同类型的货架进行合理、科学的存放；能正确规范地操作仓储机械设备，进行货物的搬运、拣选、上架、下架等作业；能按客户的需求，选择正确的流通加工设备，规范地进行货物的包装、栓标志、贴标签等流通加工作业；能根据物流企业业务的需要，正确运用GPS、条码打印机、仓储管理系统、手持终端等物流信息处理设备，配合完成物流业务中的各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vAlign w:val="center"/>
          </w:tcPr>
          <w:p>
            <w:pPr>
              <w:spacing w:line="440" w:lineRule="exact"/>
              <w:jc w:val="center"/>
              <w:rPr>
                <w:rFonts w:ascii="仿宋_GB2312" w:hAnsi="仿宋_GB2312" w:eastAsia="仿宋_GB2312" w:cs="仿宋_GB2312"/>
                <w:sz w:val="32"/>
                <w:szCs w:val="32"/>
              </w:rPr>
            </w:pPr>
          </w:p>
        </w:tc>
        <w:tc>
          <w:tcPr>
            <w:tcW w:w="1228" w:type="dxa"/>
            <w:vAlign w:val="center"/>
          </w:tcPr>
          <w:p>
            <w:pPr>
              <w:widowControl/>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物流地理</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56</w:t>
            </w:r>
          </w:p>
        </w:tc>
        <w:tc>
          <w:tcPr>
            <w:tcW w:w="5113"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学习铁路网的布局及主要铁路干线；长江水系航运地理；珠江水系航运地理；国际航线的分布与主要国际港口；我国公路网的布局；我国国际公路运输网的布局；大陆桥运输；综合运输体系及多式联运。合理选择公路运输路线、铁路运输路线、内河运输路线、海运航线以及多式联运路线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tcPr>
          <w:p>
            <w:pPr>
              <w:spacing w:line="440" w:lineRule="exact"/>
              <w:jc w:val="center"/>
              <w:rPr>
                <w:rFonts w:ascii="仿宋_GB2312" w:hAnsi="仿宋_GB2312" w:eastAsia="仿宋_GB2312" w:cs="仿宋_GB2312"/>
                <w:sz w:val="32"/>
                <w:szCs w:val="32"/>
              </w:rPr>
            </w:pPr>
          </w:p>
        </w:tc>
        <w:tc>
          <w:tcPr>
            <w:tcW w:w="1228"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仓储作业</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102</w:t>
            </w:r>
          </w:p>
        </w:tc>
        <w:tc>
          <w:tcPr>
            <w:tcW w:w="5113"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学习能根据货主提供的入库通知单和仓储合同，供货单位提供的验收凭证，承运单位提供的运输单证，正确的核对单据；能正确操作相关物流设备，将货物放到指定的储位；能按要求完成交接手续，能完成立卡、建档、登账、清洁工作。能按规范指派产品储位；能按要求调节仓库的温度湿度，并做好消防、卫生工作；能按要求正确填写盘点表格、单证；能正确使用ABC分析法进行产品库存控制。</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能根据出库凭证信息、产品货位信息，正确使用物流设备完成产品下架工作；能根据产品运输要求，选用适宜的包装材料和包装方式，完成包装工作；能按规范完成立卡、建档、登账工作。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tcPr>
          <w:p>
            <w:pPr>
              <w:spacing w:line="440" w:lineRule="exact"/>
              <w:jc w:val="center"/>
              <w:rPr>
                <w:rFonts w:ascii="仿宋_GB2312" w:hAnsi="仿宋_GB2312" w:eastAsia="仿宋_GB2312" w:cs="仿宋_GB2312"/>
                <w:sz w:val="32"/>
                <w:szCs w:val="32"/>
              </w:rPr>
            </w:pPr>
          </w:p>
        </w:tc>
        <w:tc>
          <w:tcPr>
            <w:tcW w:w="1228" w:type="dxa"/>
            <w:vAlign w:val="center"/>
          </w:tcPr>
          <w:p>
            <w:pPr>
              <w:widowControl/>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运输作业</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68</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能操作铁路整车货物运输业务；公路整车货物运输业务；零担货物运输业务；零担货物运输业务；危险货物的运输管理；超限货物的运输管理；多式联运业务。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tcPr>
          <w:p>
            <w:pPr>
              <w:spacing w:line="440" w:lineRule="exact"/>
              <w:jc w:val="center"/>
              <w:rPr>
                <w:rFonts w:ascii="仿宋_GB2312" w:hAnsi="仿宋_GB2312" w:eastAsia="仿宋_GB2312" w:cs="仿宋_GB2312"/>
                <w:sz w:val="32"/>
                <w:szCs w:val="32"/>
              </w:rPr>
            </w:pPr>
          </w:p>
        </w:tc>
        <w:tc>
          <w:tcPr>
            <w:tcW w:w="1228" w:type="dxa"/>
            <w:vAlign w:val="center"/>
          </w:tcPr>
          <w:p>
            <w:pPr>
              <w:widowControl/>
              <w:spacing w:line="44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客户服务</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60</w:t>
            </w:r>
          </w:p>
        </w:tc>
        <w:tc>
          <w:tcPr>
            <w:tcW w:w="5113"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通过与客户的沟通，把握客户的潜在需求，并热情地为客户提供咨询、接待、访问、信息及个性化服务等。</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详细记录客户信息，建立客户档案，对客户进行跟踪管理；能根据客户的特点，把握妥善处理客户投诉、解决纠纷的技巧，解决客户投诉、退换货等有关问题，能进行及时的弥补服务缺陷；能根据客户的不同类型，进行紧急情况和突发事件的处理，使客户享受到安全放心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1" w:type="dxa"/>
            <w:vMerge w:val="continue"/>
          </w:tcPr>
          <w:p>
            <w:pPr>
              <w:spacing w:line="440" w:lineRule="exact"/>
              <w:jc w:val="center"/>
              <w:rPr>
                <w:rFonts w:ascii="仿宋_GB2312" w:hAnsi="仿宋_GB2312" w:eastAsia="仿宋_GB2312" w:cs="仿宋_GB2312"/>
                <w:sz w:val="32"/>
                <w:szCs w:val="32"/>
              </w:rPr>
            </w:pPr>
          </w:p>
        </w:tc>
        <w:tc>
          <w:tcPr>
            <w:tcW w:w="1228" w:type="dxa"/>
            <w:vAlign w:val="center"/>
          </w:tcPr>
          <w:p>
            <w:pPr>
              <w:widowControl/>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物流营销</w:t>
            </w:r>
          </w:p>
        </w:tc>
        <w:tc>
          <w:tcPr>
            <w:tcW w:w="94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60</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学习能分析物流客户购买行为的主要因素、购买行为模式的特征以及物流客户的购买课程；分析影响消费者购买行为的主要因素、消费者购买行为模式的特征以及消费者购买过程；能根据项目的分析，制定本企业的竞争战略；根据物流客户分析的结论，确定市场细分的变量，并对市场进行有效的细分；在有效的细分市场里选择本企业的目标市场，并确定目标市场的营销策略；能选择本物流企业定位策略，并对本企业进行准确的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仿宋_GB2312" w:hAnsi="仿宋_GB2312" w:eastAsia="仿宋_GB2312" w:cs="仿宋_GB2312"/>
                <w:bCs/>
                <w:sz w:val="32"/>
                <w:szCs w:val="32"/>
              </w:rPr>
            </w:pPr>
          </w:p>
        </w:tc>
        <w:tc>
          <w:tcPr>
            <w:tcW w:w="1228" w:type="dxa"/>
            <w:vAlign w:val="center"/>
          </w:tcPr>
          <w:p>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统计知识</w:t>
            </w:r>
          </w:p>
        </w:tc>
        <w:tc>
          <w:tcPr>
            <w:tcW w:w="945" w:type="dxa"/>
            <w:vAlign w:val="center"/>
          </w:tcPr>
          <w:p>
            <w:pPr>
              <w:spacing w:line="440" w:lineRule="exact"/>
              <w:jc w:val="center"/>
            </w:pPr>
            <w:r>
              <w:rPr>
                <w:rFonts w:hint="eastAsia" w:ascii="仿宋_GB2312" w:hAnsi="仿宋_GB2312" w:eastAsia="仿宋_GB2312" w:cs="仿宋_GB2312"/>
                <w:bCs/>
                <w:sz w:val="32"/>
                <w:szCs w:val="32"/>
              </w:rPr>
              <w:t>68</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学习能根据企业具体调查任务，设计调查表或调查问卷，运用统计调查的基本方法和技巧，收集第一手的数据资料。能按要求对收集的数据资料进行科学的统计分组，从而对原始资料进行有效地归纳、整理、汇总，并根据汇总结果绘制出直方图或线形图等常用的统计图，即具备编制统计分析表与统计图的能力；能根据条件正确计算出绝对数、相对数、平均数等综合指标，并能根据实际问题选择不同的综合指标来表达事物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仿宋_GB2312" w:hAnsi="仿宋_GB2312" w:eastAsia="仿宋_GB2312" w:cs="仿宋_GB2312"/>
                <w:bCs/>
                <w:sz w:val="32"/>
                <w:szCs w:val="32"/>
              </w:rPr>
            </w:pPr>
          </w:p>
        </w:tc>
        <w:tc>
          <w:tcPr>
            <w:tcW w:w="1228" w:type="dxa"/>
            <w:vAlign w:val="center"/>
          </w:tcPr>
          <w:p>
            <w:pPr>
              <w:widowControl/>
              <w:spacing w:line="44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物流单证</w:t>
            </w:r>
          </w:p>
        </w:tc>
        <w:tc>
          <w:tcPr>
            <w:tcW w:w="945" w:type="dxa"/>
            <w:vAlign w:val="center"/>
          </w:tcPr>
          <w:p>
            <w:pPr>
              <w:spacing w:line="440" w:lineRule="exact"/>
              <w:jc w:val="center"/>
            </w:pPr>
            <w:r>
              <w:rPr>
                <w:rFonts w:hint="eastAsia" w:ascii="仿宋_GB2312" w:hAnsi="仿宋_GB2312" w:eastAsia="仿宋_GB2312" w:cs="仿宋_GB2312"/>
                <w:bCs/>
                <w:sz w:val="32"/>
                <w:szCs w:val="32"/>
              </w:rPr>
              <w:t>56</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学习能缮制装箱单、报检委托书、报检报关单、海运提单、托运单、投保单、保险单；能审核商业发票、装箱单、重量单、报检单、报关单、投保单、保险单，能审核主要运输单据；能根据各项业务的要求进行单证的流转和及时交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综合实训课</w:t>
            </w:r>
          </w:p>
        </w:tc>
        <w:tc>
          <w:tcPr>
            <w:tcW w:w="1228"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跟岗实习</w:t>
            </w:r>
          </w:p>
        </w:tc>
        <w:tc>
          <w:tcPr>
            <w:tcW w:w="945"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500</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跟岗实习是通过校企合作平台，使学生在校外实训基地，将学习领域的内容与岗位职业能力要求深度融合，把所学专业知识和技能较好地应用在托幼机构保育员、育婴员等岗位中，提高学生的综合能力与独立工作的能力，实现本专业人才培养目标与托幼机构高素质人才需求准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spacing w:line="440" w:lineRule="exact"/>
              <w:jc w:val="center"/>
              <w:rPr>
                <w:rFonts w:ascii="仿宋_GB2312" w:hAnsi="仿宋_GB2312" w:eastAsia="仿宋_GB2312" w:cs="仿宋_GB2312"/>
                <w:bCs/>
                <w:sz w:val="32"/>
                <w:szCs w:val="32"/>
              </w:rPr>
            </w:pPr>
          </w:p>
        </w:tc>
        <w:tc>
          <w:tcPr>
            <w:tcW w:w="1228"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顶岗实习</w:t>
            </w:r>
          </w:p>
          <w:p>
            <w:pPr>
              <w:spacing w:line="440" w:lineRule="exact"/>
              <w:rPr>
                <w:rFonts w:ascii="仿宋_GB2312" w:hAnsi="仿宋_GB2312" w:eastAsia="仿宋_GB2312" w:cs="仿宋_GB2312"/>
                <w:sz w:val="32"/>
                <w:szCs w:val="32"/>
              </w:rPr>
            </w:pPr>
          </w:p>
        </w:tc>
        <w:tc>
          <w:tcPr>
            <w:tcW w:w="945"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500</w:t>
            </w:r>
          </w:p>
        </w:tc>
        <w:tc>
          <w:tcPr>
            <w:tcW w:w="5113" w:type="dxa"/>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顶岗实习，让学生增强劳动观念和纪律观念，了解企业文化，为学生将来更好地适应社会作准备，使学生了解各级各类幼儿园的日常教学管理工作和保育工作的一般情况，巩固专业思想，学生通过实习来巩固专业课程内容，融会贯通所学的知识技能，提高运用理论知识解决教育教学和幼儿管理实际问题的能力。最后达到强化职业技能，提高全面素质和综合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440" w:lineRule="exact"/>
              <w:jc w:val="center"/>
              <w:rPr>
                <w:rFonts w:ascii="仿宋_GB2312" w:hAnsi="仿宋_GB2312" w:eastAsia="仿宋_GB2312" w:cs="仿宋_GB2312"/>
                <w:bCs/>
                <w:sz w:val="32"/>
                <w:szCs w:val="32"/>
              </w:rPr>
            </w:pPr>
          </w:p>
        </w:tc>
        <w:tc>
          <w:tcPr>
            <w:tcW w:w="1228" w:type="dxa"/>
            <w:vAlign w:val="center"/>
          </w:tcPr>
          <w:p>
            <w:pPr>
              <w:widowControl/>
              <w:spacing w:line="440" w:lineRule="exact"/>
              <w:jc w:val="left"/>
              <w:rPr>
                <w:rFonts w:ascii="仿宋_GB2312" w:hAnsi="仿宋_GB2312" w:eastAsia="仿宋_GB2312" w:cs="仿宋_GB2312"/>
                <w:bCs/>
                <w:sz w:val="32"/>
                <w:szCs w:val="32"/>
              </w:rPr>
            </w:pPr>
          </w:p>
        </w:tc>
        <w:tc>
          <w:tcPr>
            <w:tcW w:w="945" w:type="dxa"/>
            <w:vAlign w:val="center"/>
          </w:tcPr>
          <w:p>
            <w:pPr>
              <w:spacing w:line="440" w:lineRule="exact"/>
              <w:jc w:val="center"/>
              <w:rPr>
                <w:rFonts w:ascii="仿宋_GB2312" w:hAnsi="仿宋_GB2312" w:eastAsia="仿宋_GB2312" w:cs="仿宋_GB2312"/>
                <w:bCs/>
                <w:sz w:val="32"/>
                <w:szCs w:val="32"/>
              </w:rPr>
            </w:pPr>
          </w:p>
        </w:tc>
        <w:tc>
          <w:tcPr>
            <w:tcW w:w="5113" w:type="dxa"/>
          </w:tcPr>
          <w:p>
            <w:pPr>
              <w:spacing w:line="440" w:lineRule="exact"/>
              <w:rPr>
                <w:rFonts w:ascii="仿宋_GB2312" w:hAnsi="仿宋_GB2312" w:eastAsia="仿宋_GB2312" w:cs="仿宋_GB2312"/>
                <w:sz w:val="32"/>
                <w:szCs w:val="32"/>
              </w:rPr>
            </w:pPr>
          </w:p>
        </w:tc>
      </w:tr>
    </w:tbl>
    <w:p>
      <w:pPr>
        <w:pStyle w:val="17"/>
        <w:spacing w:line="560" w:lineRule="exact"/>
        <w:rPr>
          <w:rFonts w:ascii="仿宋_GB2312" w:hAnsi="仿宋_GB2312" w:eastAsia="仿宋_GB2312" w:cs="仿宋_GB2312"/>
          <w:sz w:val="32"/>
          <w:szCs w:val="32"/>
        </w:rPr>
      </w:pPr>
    </w:p>
    <w:p>
      <w:pPr>
        <w:widowControl/>
        <w:shd w:val="clear" w:color="auto" w:fill="FFFFFF"/>
        <w:spacing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专业方向课程1：（仓储与配送）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15"/>
        <w:gridCol w:w="522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15"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5224"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课程目标、主要内容和教学要求</w:t>
            </w:r>
          </w:p>
        </w:tc>
        <w:tc>
          <w:tcPr>
            <w:tcW w:w="1183"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w:t>
            </w:r>
          </w:p>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215"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采购作业</w:t>
            </w:r>
          </w:p>
        </w:tc>
        <w:tc>
          <w:tcPr>
            <w:tcW w:w="5224" w:type="dxa"/>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一定的标准对供应商关系进行管理；能根据采购调查、物料需求量、采购预算和采购时间编制简单的采购计划，并及时与供应商联系，执行采购计划；能灵活有效地运用各种谈判技巧，对物料的价格、质量、数量、交货时间、包装、运输方式、售后服务等合同内容与供应商进行谈判；</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能按合同要求对采购的物料进行接收，进行货款的支付，并对采购情况进行跟踪和评估。</w:t>
            </w:r>
          </w:p>
        </w:tc>
        <w:tc>
          <w:tcPr>
            <w:tcW w:w="1183"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1215" w:type="dxa"/>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配送作业</w:t>
            </w:r>
          </w:p>
        </w:tc>
        <w:tc>
          <w:tcPr>
            <w:tcW w:w="5224" w:type="dxa"/>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采用正确的方式来处理各类顾客订单；能根据顾客订单，操作相关物流设备，完成产品的拣选工作；能根据顾客订单及产品库存情况，及时准确进行产品库存的补充；能按照顾客需求，选择适宜的设备、工具对产品施加包装、分割、计量、分拣、刷标志、拴标签、组装等简单作业；</w:t>
            </w:r>
          </w:p>
        </w:tc>
        <w:tc>
          <w:tcPr>
            <w:tcW w:w="1183"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1215" w:type="dxa"/>
            <w:vAlign w:val="center"/>
          </w:tcPr>
          <w:p>
            <w:pPr>
              <w:widowControl/>
              <w:spacing w:line="4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企业生产物流流程实务</w:t>
            </w:r>
          </w:p>
        </w:tc>
        <w:tc>
          <w:tcPr>
            <w:tcW w:w="5224" w:type="dxa"/>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准确绘制产品结构树；能准确编制物料代码；能根据物料代码及工艺路线、产品结构树，进行物料清单（BOM）编制；能阅读月度生产计划，分解成日生产计划；能根据日生产计划，编制领料计划；能正确填制领料单；能对在制品的质量进行简单的判别；</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能按要求对不合格的在制品进行回收处理能根据EOQ原理进行定量库存控制的计算；能根据EOI模型进行定期库存控制的计算；能根据ABC分类图表能进行简单的分类管理。</w:t>
            </w:r>
          </w:p>
          <w:p>
            <w:pPr>
              <w:spacing w:line="460" w:lineRule="exact"/>
              <w:rPr>
                <w:rFonts w:ascii="仿宋_GB2312" w:hAnsi="仿宋_GB2312" w:eastAsia="仿宋_GB2312" w:cs="仿宋_GB2312"/>
                <w:sz w:val="32"/>
                <w:szCs w:val="32"/>
              </w:rPr>
            </w:pPr>
          </w:p>
        </w:tc>
        <w:tc>
          <w:tcPr>
            <w:tcW w:w="1183"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1215" w:type="dxa"/>
            <w:vAlign w:val="center"/>
          </w:tcPr>
          <w:p>
            <w:pPr>
              <w:spacing w:line="4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（仓储、运输）3D模拟软件操作实务</w:t>
            </w:r>
          </w:p>
          <w:p>
            <w:pPr>
              <w:widowControl/>
              <w:spacing w:line="460" w:lineRule="exact"/>
              <w:jc w:val="left"/>
              <w:rPr>
                <w:rFonts w:ascii="仿宋_GB2312" w:hAnsi="仿宋_GB2312" w:eastAsia="仿宋_GB2312" w:cs="仿宋_GB2312"/>
                <w:bCs/>
                <w:sz w:val="32"/>
                <w:szCs w:val="32"/>
              </w:rPr>
            </w:pPr>
          </w:p>
        </w:tc>
        <w:tc>
          <w:tcPr>
            <w:tcW w:w="5224" w:type="dxa"/>
            <w:vAlign w:val="center"/>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能正确缮制出库单；能完成货物的收货、验货、入库作业，能独立制作货物的入库凭证；并能根据货物的性质选择合理的存放区域；能独立制作商品的调拨单</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填制盘点单；能进行盘点作业并对盘点结果进行处理；能进行运输客户接洽、运输业务受理，缮制运输单据；能根据运输需求选择运输方式、运输工具、运输路线；能进行零担货物配载；能够熟练操作运输管理软件；能进行运输线路优化；能计算运输费用；能进行运输客户调查，拟定运输合同；能进行鲜活易腐货物运输、危险货物运输、大型件运输业务。</w:t>
            </w:r>
          </w:p>
        </w:tc>
        <w:tc>
          <w:tcPr>
            <w:tcW w:w="1183"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12" w:type="dxa"/>
            <w:gridSpan w:val="2"/>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合  计</w:t>
            </w:r>
          </w:p>
        </w:tc>
        <w:tc>
          <w:tcPr>
            <w:tcW w:w="5224" w:type="dxa"/>
            <w:vAlign w:val="center"/>
          </w:tcPr>
          <w:p>
            <w:pPr>
              <w:spacing w:line="460" w:lineRule="exact"/>
              <w:jc w:val="center"/>
              <w:rPr>
                <w:rFonts w:ascii="仿宋_GB2312" w:hAnsi="仿宋_GB2312" w:eastAsia="仿宋_GB2312" w:cs="仿宋_GB2312"/>
                <w:bCs/>
                <w:sz w:val="32"/>
                <w:szCs w:val="32"/>
              </w:rPr>
            </w:pPr>
          </w:p>
        </w:tc>
        <w:tc>
          <w:tcPr>
            <w:tcW w:w="1183" w:type="dxa"/>
            <w:vAlign w:val="center"/>
          </w:tcPr>
          <w:p>
            <w:pPr>
              <w:spacing w:line="4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360</w:t>
            </w:r>
          </w:p>
        </w:tc>
      </w:tr>
    </w:tbl>
    <w:p>
      <w:pPr>
        <w:pStyle w:val="17"/>
        <w:spacing w:line="560" w:lineRule="exact"/>
        <w:rPr>
          <w:rFonts w:ascii="仿宋_GB2312" w:hAnsi="仿宋_GB2312" w:eastAsia="仿宋_GB2312" w:cs="仿宋_GB2312"/>
          <w:sz w:val="32"/>
          <w:szCs w:val="32"/>
        </w:rPr>
      </w:pPr>
    </w:p>
    <w:p>
      <w:pPr>
        <w:widowControl/>
        <w:shd w:val="clear" w:color="auto" w:fill="FFFFFF"/>
        <w:spacing w:line="4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专业方向课程2：（港口物流）：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15"/>
        <w:gridCol w:w="522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215"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课程名称</w:t>
            </w:r>
          </w:p>
        </w:tc>
        <w:tc>
          <w:tcPr>
            <w:tcW w:w="5224"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课程目标、主要内容和教学要求</w:t>
            </w:r>
          </w:p>
        </w:tc>
        <w:tc>
          <w:tcPr>
            <w:tcW w:w="1167" w:type="dxa"/>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w:t>
            </w:r>
          </w:p>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1215"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货运代理业务</w:t>
            </w:r>
          </w:p>
        </w:tc>
        <w:tc>
          <w:tcPr>
            <w:tcW w:w="5224"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揽货；订舱；制单；报检；报关；运费计算；多式联运业务。</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通过实习实训能能根据货主要求选择合理的运输方式、设计最佳的运输路线；能根据货主要求，代货主订好各种运输方式的舱位；能缮制各种运输方式下要求填制的单证；能够办理报检的相关手续；能填制报检单；能够办理报关的相关手续；能填制报关单；能计算一些简单的运费。</w:t>
            </w:r>
          </w:p>
        </w:tc>
        <w:tc>
          <w:tcPr>
            <w:tcW w:w="116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9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1215"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堆场理货作业</w:t>
            </w:r>
          </w:p>
        </w:tc>
        <w:tc>
          <w:tcPr>
            <w:tcW w:w="5224"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根据货物的实际情况进行分票、隔票，并能处理隔票不清楚的货物，根据残、损货判别的方法，能在现场处理原残货、工残货、溢短货、地脚货；能根据货物的种类、数量，合理选择堆垛方式，正确进行货物堆垛，并能运用科学的方法进行堆存保管、维护；能正确填制装、卸船分票单、残损单、溢短单、交接单等，并在理货作业过程中进行流转；能办理交接理货签证手续；能按要求进行理货单证和资料的整理工作。</w:t>
            </w:r>
          </w:p>
        </w:tc>
        <w:tc>
          <w:tcPr>
            <w:tcW w:w="116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59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1215" w:type="dxa"/>
          </w:tcPr>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集装箱货运</w:t>
            </w:r>
          </w:p>
        </w:tc>
        <w:tc>
          <w:tcPr>
            <w:tcW w:w="5224"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正确填制报关单、报检单；能正确使用配积载方法进行装箱；能正确填制装箱单根据拆箱的要求，能按照装箱单进行掏箱；能按要求编制拆箱单、残损单、溢短单。熟悉货款结算支付工具（汇票、本票、支票）的作用，能审查各项票据的真伪、合理性、合规性；能根据信用证的要求，运用托收、汇付等支付方式，完成货运货款的支付。</w:t>
            </w:r>
          </w:p>
        </w:tc>
        <w:tc>
          <w:tcPr>
            <w:tcW w:w="116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9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1215" w:type="dxa"/>
          </w:tcPr>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（货代、集装箱）D模拟软件操作实务</w:t>
            </w:r>
          </w:p>
        </w:tc>
        <w:tc>
          <w:tcPr>
            <w:tcW w:w="5224" w:type="dxa"/>
            <w:vAlign w:val="center"/>
          </w:tcPr>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能完成缮制产地证；填制海运出口货物托运单；拟定销售合同书；制保险填制海运提单；填制商业发票；缮制出境货物报检单；填制出口货物报关单；出口报检；进口报检；进口报关；出口报关；进口申办；出口申办；衬衫出口业务；集装箱进口业务；集装箱出口业务。</w:t>
            </w:r>
          </w:p>
        </w:tc>
        <w:tc>
          <w:tcPr>
            <w:tcW w:w="116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12" w:type="dxa"/>
            <w:gridSpan w:val="2"/>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合  计</w:t>
            </w:r>
          </w:p>
        </w:tc>
        <w:tc>
          <w:tcPr>
            <w:tcW w:w="5224" w:type="dxa"/>
            <w:vAlign w:val="center"/>
          </w:tcPr>
          <w:p>
            <w:pPr>
              <w:spacing w:line="440" w:lineRule="exact"/>
              <w:jc w:val="center"/>
              <w:rPr>
                <w:rFonts w:ascii="仿宋_GB2312" w:hAnsi="仿宋_GB2312" w:eastAsia="仿宋_GB2312" w:cs="仿宋_GB2312"/>
                <w:bCs/>
                <w:sz w:val="32"/>
                <w:szCs w:val="32"/>
              </w:rPr>
            </w:pPr>
          </w:p>
        </w:tc>
        <w:tc>
          <w:tcPr>
            <w:tcW w:w="1167" w:type="dxa"/>
            <w:vAlign w:val="center"/>
          </w:tcPr>
          <w:p>
            <w:pPr>
              <w:spacing w:line="44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360</w:t>
            </w:r>
          </w:p>
        </w:tc>
      </w:tr>
    </w:tbl>
    <w:p>
      <w:pPr>
        <w:pStyle w:val="11"/>
        <w:spacing w:beforeLines="20" w:beforeAutospacing="0" w:afterLines="20" w:afterAutospacing="0" w:line="560" w:lineRule="exact"/>
        <w:ind w:firstLine="640" w:firstLineChars="200"/>
        <w:rPr>
          <w:rStyle w:val="20"/>
          <w:rFonts w:eastAsia="黑体"/>
          <w:sz w:val="32"/>
          <w:szCs w:val="32"/>
        </w:rPr>
      </w:pPr>
      <w:bookmarkStart w:id="7" w:name="_Toc88037566"/>
    </w:p>
    <w:p>
      <w:pPr>
        <w:pStyle w:val="11"/>
        <w:spacing w:beforeLines="20" w:beforeAutospacing="0" w:afterLines="20" w:afterAutospacing="0" w:line="560" w:lineRule="exact"/>
        <w:ind w:firstLine="640" w:firstLineChars="200"/>
        <w:rPr>
          <w:rStyle w:val="20"/>
          <w:rFonts w:eastAsia="黑体"/>
          <w:sz w:val="32"/>
          <w:szCs w:val="32"/>
        </w:rPr>
      </w:pPr>
      <w:r>
        <w:rPr>
          <w:rStyle w:val="20"/>
          <w:rFonts w:hint="eastAsia" w:eastAsia="黑体"/>
          <w:sz w:val="32"/>
          <w:szCs w:val="32"/>
        </w:rPr>
        <w:t>七、教学进程总体安排</w:t>
      </w:r>
      <w:bookmarkEnd w:id="7"/>
    </w:p>
    <w:p>
      <w:pPr>
        <w:spacing w:line="560" w:lineRule="exact"/>
        <w:ind w:firstLine="643" w:firstLineChars="200"/>
        <w:rPr>
          <w:rFonts w:ascii="楷体_GB2312" w:eastAsia="楷体_GB2312"/>
          <w:b/>
          <w:sz w:val="32"/>
          <w:szCs w:val="32"/>
        </w:rPr>
      </w:pPr>
      <w:bookmarkStart w:id="8" w:name="_Toc12099_WPSOffice_Level2"/>
      <w:bookmarkStart w:id="9" w:name="_Toc22862_WPSOffice_Level2"/>
      <w:r>
        <w:rPr>
          <w:rFonts w:hint="eastAsia" w:ascii="楷体_GB2312" w:eastAsia="楷体_GB2312"/>
          <w:b/>
          <w:sz w:val="32"/>
          <w:szCs w:val="32"/>
        </w:rPr>
        <w:t>（一）基本要求</w:t>
      </w:r>
      <w:bookmarkEnd w:id="8"/>
      <w:bookmarkEnd w:id="9"/>
    </w:p>
    <w:p>
      <w:pPr>
        <w:pStyle w:val="22"/>
        <w:spacing w:line="360" w:lineRule="auto"/>
        <w:ind w:firstLine="0" w:firstLineChars="0"/>
        <w:rPr>
          <w:rFonts w:hAnsi="Calibri"/>
          <w:b w:val="0"/>
          <w:bCs w:val="0"/>
          <w:color w:val="auto"/>
          <w:kern w:val="2"/>
          <w:sz w:val="32"/>
          <w:szCs w:val="32"/>
        </w:rPr>
      </w:pPr>
      <w:r>
        <w:rPr>
          <w:rFonts w:hint="eastAsia" w:hAnsi="Calibri"/>
          <w:b w:val="0"/>
          <w:bCs w:val="0"/>
          <w:color w:val="auto"/>
          <w:kern w:val="2"/>
          <w:sz w:val="32"/>
          <w:szCs w:val="32"/>
        </w:rPr>
        <w:t xml:space="preserve"> 教学活动时间分配表（按周分配）</w:t>
      </w:r>
    </w:p>
    <w:tbl>
      <w:tblPr>
        <w:tblStyle w:val="13"/>
        <w:tblW w:w="851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6"/>
        <w:gridCol w:w="873"/>
        <w:gridCol w:w="874"/>
        <w:gridCol w:w="874"/>
        <w:gridCol w:w="874"/>
        <w:gridCol w:w="874"/>
        <w:gridCol w:w="874"/>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学期</w:t>
            </w:r>
          </w:p>
        </w:tc>
        <w:tc>
          <w:tcPr>
            <w:tcW w:w="873"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一</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二</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三</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四</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五</w:t>
            </w:r>
          </w:p>
        </w:tc>
        <w:tc>
          <w:tcPr>
            <w:tcW w:w="874"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六</w:t>
            </w:r>
          </w:p>
        </w:tc>
        <w:tc>
          <w:tcPr>
            <w:tcW w:w="867" w:type="dxa"/>
            <w:tcMar>
              <w:top w:w="15" w:type="dxa"/>
              <w:left w:w="15" w:type="dxa"/>
              <w:bottom w:w="0" w:type="dxa"/>
              <w:right w:w="15" w:type="dxa"/>
            </w:tcMar>
            <w:vAlign w:val="center"/>
          </w:tcPr>
          <w:p>
            <w:pPr>
              <w:spacing w:line="360" w:lineRule="exact"/>
              <w:ind w:left="-156" w:right="-134" w:firstLine="422"/>
              <w:rPr>
                <w:rFonts w:ascii="仿宋_GB2312" w:eastAsia="仿宋_GB2312"/>
                <w:sz w:val="32"/>
                <w:szCs w:val="32"/>
              </w:rPr>
            </w:pPr>
            <w:r>
              <w:rPr>
                <w:rFonts w:hint="eastAsia" w:ascii="仿宋_GB2312" w:eastAsia="仿宋_GB2312"/>
                <w:sz w:val="32"/>
                <w:szCs w:val="3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入学教育</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134"/>
              <w:jc w:val="center"/>
              <w:rPr>
                <w:rFonts w:ascii="仿宋_GB2312" w:eastAsia="仿宋_GB2312"/>
                <w:sz w:val="32"/>
                <w:szCs w:val="32"/>
              </w:rPr>
            </w:pPr>
            <w:r>
              <w:rPr>
                <w:rFonts w:hint="eastAsia" w:asci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课堂教学</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17</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18</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复习考试</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跟岗实习</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顶岗生产实习</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其他/毕业教育</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机动</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406" w:type="dxa"/>
            <w:tcMar>
              <w:top w:w="15" w:type="dxa"/>
              <w:left w:w="15" w:type="dxa"/>
              <w:bottom w:w="0" w:type="dxa"/>
              <w:right w:w="15" w:type="dxa"/>
            </w:tcMar>
            <w:vAlign w:val="center"/>
          </w:tcPr>
          <w:p>
            <w:pPr>
              <w:spacing w:line="400" w:lineRule="exact"/>
              <w:ind w:left="139" w:leftChars="-45" w:right="-94" w:rightChars="-45" w:hanging="233" w:hangingChars="73"/>
              <w:jc w:val="center"/>
              <w:rPr>
                <w:rFonts w:ascii="仿宋_GB2312" w:eastAsia="仿宋_GB2312"/>
                <w:sz w:val="32"/>
                <w:szCs w:val="32"/>
              </w:rPr>
            </w:pPr>
            <w:r>
              <w:rPr>
                <w:rFonts w:hint="eastAsia" w:ascii="仿宋_GB2312" w:eastAsia="仿宋_GB2312"/>
                <w:sz w:val="32"/>
                <w:szCs w:val="32"/>
              </w:rPr>
              <w:t>合计</w:t>
            </w:r>
          </w:p>
        </w:tc>
        <w:tc>
          <w:tcPr>
            <w:tcW w:w="873"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74"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20</w:t>
            </w:r>
          </w:p>
        </w:tc>
        <w:tc>
          <w:tcPr>
            <w:tcW w:w="867" w:type="dxa"/>
            <w:tcMar>
              <w:top w:w="15" w:type="dxa"/>
              <w:left w:w="15" w:type="dxa"/>
              <w:bottom w:w="0" w:type="dxa"/>
              <w:right w:w="15" w:type="dxa"/>
            </w:tcMar>
            <w:vAlign w:val="center"/>
          </w:tcPr>
          <w:p>
            <w:pPr>
              <w:spacing w:line="360" w:lineRule="exact"/>
              <w:ind w:right="86" w:rightChars="41"/>
              <w:jc w:val="center"/>
              <w:rPr>
                <w:rFonts w:ascii="仿宋_GB2312" w:eastAsia="仿宋_GB2312"/>
                <w:sz w:val="32"/>
                <w:szCs w:val="32"/>
              </w:rPr>
            </w:pPr>
            <w:r>
              <w:rPr>
                <w:rFonts w:hint="eastAsia" w:ascii="仿宋_GB2312" w:eastAsia="仿宋_GB2312"/>
                <w:sz w:val="32"/>
                <w:szCs w:val="32"/>
              </w:rPr>
              <w:t>120</w:t>
            </w:r>
          </w:p>
        </w:tc>
      </w:tr>
    </w:tbl>
    <w:p>
      <w:pPr>
        <w:pStyle w:val="18"/>
        <w:spacing w:line="560" w:lineRule="exact"/>
        <w:ind w:firstLine="0"/>
        <w:rPr>
          <w:rFonts w:ascii="仿宋_GB2312" w:eastAsia="仿宋_GB2312"/>
          <w:sz w:val="32"/>
          <w:szCs w:val="32"/>
        </w:rPr>
      </w:pPr>
    </w:p>
    <w:p>
      <w:pPr>
        <w:spacing w:line="560" w:lineRule="exact"/>
        <w:ind w:firstLine="643" w:firstLineChars="200"/>
      </w:pPr>
      <w:r>
        <w:rPr>
          <w:rFonts w:hint="eastAsia" w:ascii="楷体_GB2312" w:eastAsia="楷体_GB2312"/>
          <w:b/>
          <w:sz w:val="32"/>
          <w:szCs w:val="32"/>
        </w:rPr>
        <w:t>（二）教学安排建议</w:t>
      </w:r>
    </w:p>
    <w:tbl>
      <w:tblPr>
        <w:tblStyle w:val="13"/>
        <w:tblW w:w="8662" w:type="dxa"/>
        <w:tblInd w:w="0" w:type="dxa"/>
        <w:tblLayout w:type="fixed"/>
        <w:tblCellMar>
          <w:top w:w="0" w:type="dxa"/>
          <w:left w:w="0" w:type="dxa"/>
          <w:bottom w:w="0" w:type="dxa"/>
          <w:right w:w="0" w:type="dxa"/>
        </w:tblCellMar>
      </w:tblPr>
      <w:tblGrid>
        <w:gridCol w:w="374"/>
        <w:gridCol w:w="610"/>
        <w:gridCol w:w="2150"/>
        <w:gridCol w:w="584"/>
        <w:gridCol w:w="650"/>
        <w:gridCol w:w="583"/>
        <w:gridCol w:w="683"/>
        <w:gridCol w:w="467"/>
        <w:gridCol w:w="450"/>
        <w:gridCol w:w="450"/>
        <w:gridCol w:w="500"/>
        <w:gridCol w:w="517"/>
        <w:gridCol w:w="644"/>
      </w:tblGrid>
      <w:tr>
        <w:tblPrEx>
          <w:tblCellMar>
            <w:top w:w="0" w:type="dxa"/>
            <w:left w:w="0" w:type="dxa"/>
            <w:bottom w:w="0" w:type="dxa"/>
            <w:right w:w="0" w:type="dxa"/>
          </w:tblCellMar>
        </w:tblPrEx>
        <w:trPr>
          <w:trHeight w:val="420" w:hRule="atLeast"/>
        </w:trPr>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5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性质</w:t>
            </w:r>
          </w:p>
        </w:tc>
        <w:tc>
          <w:tcPr>
            <w:tcW w:w="191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学时</w:t>
            </w:r>
          </w:p>
        </w:tc>
        <w:tc>
          <w:tcPr>
            <w:tcW w:w="30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学期</w:t>
            </w:r>
          </w:p>
        </w:tc>
      </w:tr>
      <w:tr>
        <w:tblPrEx>
          <w:tblCellMar>
            <w:top w:w="0" w:type="dxa"/>
            <w:left w:w="0" w:type="dxa"/>
            <w:bottom w:w="0" w:type="dxa"/>
            <w:right w:w="0" w:type="dxa"/>
          </w:tblCellMar>
        </w:tblPrEx>
        <w:trPr>
          <w:trHeight w:val="359" w:hRule="atLeast"/>
        </w:trPr>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8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5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总学时</w:t>
            </w:r>
          </w:p>
        </w:tc>
        <w:tc>
          <w:tcPr>
            <w:tcW w:w="5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理论学时</w:t>
            </w:r>
          </w:p>
        </w:tc>
        <w:tc>
          <w:tcPr>
            <w:tcW w:w="6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实践学时</w:t>
            </w:r>
          </w:p>
        </w:tc>
        <w:tc>
          <w:tcPr>
            <w:tcW w:w="4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r>
      <w:tr>
        <w:tblPrEx>
          <w:tblCellMar>
            <w:top w:w="0" w:type="dxa"/>
            <w:left w:w="0" w:type="dxa"/>
            <w:bottom w:w="0" w:type="dxa"/>
            <w:right w:w="0" w:type="dxa"/>
          </w:tblCellMar>
        </w:tblPrEx>
        <w:trPr>
          <w:trHeight w:val="322" w:hRule="atLeast"/>
        </w:trPr>
        <w:tc>
          <w:tcPr>
            <w:tcW w:w="98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8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c>
          <w:tcPr>
            <w:tcW w:w="5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c>
          <w:tcPr>
            <w:tcW w:w="5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c>
          <w:tcPr>
            <w:tcW w:w="6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20周</w:t>
            </w:r>
          </w:p>
        </w:tc>
      </w:tr>
      <w:tr>
        <w:tblPrEx>
          <w:tblCellMar>
            <w:top w:w="0" w:type="dxa"/>
            <w:left w:w="0" w:type="dxa"/>
            <w:bottom w:w="0" w:type="dxa"/>
            <w:right w:w="0" w:type="dxa"/>
          </w:tblCellMar>
        </w:tblPrEx>
        <w:trPr>
          <w:trHeight w:val="360" w:hRule="atLeast"/>
        </w:trPr>
        <w:tc>
          <w:tcPr>
            <w:tcW w:w="98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文化基础课</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中国特色社会主义</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心理健康与职业生涯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职业道德与法治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哲学与人生</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语文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198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192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数学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144</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4</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英语</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144</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12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宋体" w:hAnsi="宋体" w:cs="宋体"/>
                <w:color w:val="000000"/>
                <w:kern w:val="0"/>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物理</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45</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化学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历史</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劳动教育</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公共艺术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26</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中华优秀传统文化</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体育与健康</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144</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126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计算机应用基础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95</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98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仿宋_GB2312" w:hAnsi="仿宋_GB2312" w:eastAsia="仿宋_GB2312" w:cs="仿宋_GB2312"/>
                <w:b/>
                <w:bCs/>
                <w:sz w:val="24"/>
              </w:rPr>
            </w:pPr>
            <w:r>
              <w:rPr>
                <w:rFonts w:hint="eastAsia" w:ascii="仿宋_GB2312" w:hAnsi="宋体" w:eastAsia="仿宋_GB2312" w:cs="仿宋_GB2312"/>
                <w:b/>
                <w:bCs/>
                <w:color w:val="000000"/>
                <w:kern w:val="0"/>
                <w:sz w:val="24"/>
              </w:rPr>
              <w:t>1107</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sz w:val="24"/>
              </w:rPr>
              <w:t>1089</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sz w:val="24"/>
              </w:rPr>
              <w:t>172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宋体" w:hAnsi="宋体" w:cs="宋体"/>
                <w:b/>
                <w:bCs/>
                <w:color w:val="000000"/>
                <w:kern w:val="0"/>
                <w:sz w:val="24"/>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宋体" w:hAnsi="宋体" w:cs="宋体"/>
                <w:b/>
                <w:bCs/>
                <w:color w:val="000000"/>
                <w:kern w:val="0"/>
                <w:sz w:val="24"/>
              </w:rPr>
              <w:t>11</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bCs/>
                <w:sz w:val="24"/>
              </w:rPr>
            </w:pPr>
            <w:r>
              <w:rPr>
                <w:rFonts w:hint="eastAsia" w:ascii="宋体" w:hAnsi="宋体" w:cs="宋体"/>
                <w:b/>
                <w:bCs/>
                <w:color w:val="000000"/>
                <w:kern w:val="0"/>
                <w:sz w:val="24"/>
              </w:rPr>
              <w:t>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仿宋_GB2312" w:hAnsi="仿宋_GB2312" w:eastAsia="仿宋_GB2312" w:cs="仿宋_GB2312"/>
                <w:b/>
                <w:bCs/>
                <w:sz w:val="24"/>
              </w:rPr>
            </w:pPr>
            <w:r>
              <w:rPr>
                <w:rFonts w:hint="eastAsia" w:ascii="仿宋_GB2312" w:hAnsi="宋体" w:eastAsia="仿宋_GB2312" w:cs="仿宋_GB2312"/>
                <w:b/>
                <w:bCs/>
                <w:color w:val="000000"/>
                <w:kern w:val="0"/>
                <w:sz w:val="24"/>
              </w:rPr>
              <w:t>4</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仿宋_GB2312" w:hAnsi="仿宋_GB2312" w:eastAsia="仿宋_GB2312" w:cs="仿宋_GB2312"/>
                <w:b/>
                <w:bCs/>
                <w:sz w:val="24"/>
              </w:rPr>
            </w:pPr>
          </w:p>
        </w:tc>
      </w:tr>
      <w:tr>
        <w:tblPrEx>
          <w:tblCellMar>
            <w:top w:w="0" w:type="dxa"/>
            <w:left w:w="0" w:type="dxa"/>
            <w:bottom w:w="0" w:type="dxa"/>
            <w:right w:w="0" w:type="dxa"/>
          </w:tblCellMar>
        </w:tblPrEx>
        <w:trPr>
          <w:trHeight w:val="360"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专业技能课</w:t>
            </w:r>
          </w:p>
        </w:tc>
        <w:tc>
          <w:tcPr>
            <w:tcW w:w="6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专</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业</w:t>
            </w:r>
          </w:p>
          <w:p>
            <w:pPr>
              <w:spacing w:line="560" w:lineRule="exact"/>
              <w:jc w:val="center"/>
              <w:rPr>
                <w:rFonts w:ascii="仿宋_GB2312" w:hAnsi="仿宋_GB2312" w:eastAsia="仿宋_GB2312" w:cs="仿宋_GB2312"/>
                <w:sz w:val="24"/>
              </w:rPr>
            </w:pP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核</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心</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课</w:t>
            </w:r>
          </w:p>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程</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物流现代基础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物流地理</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仓储管理</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配送作业实务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物流运输</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快递作业实务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物流客户服务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612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612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物流单证制作实务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物流信息技术</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供应链管理实务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采购实务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货代作业实务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物流设施与设备</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物流营销基础与实务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叉车驾驶与维护</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288</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288</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r>
              <w:rPr>
                <w:rFonts w:hint="eastAsia" w:ascii="仿宋_GB2312" w:hAnsi="宋体" w:eastAsia="仿宋_GB2312" w:cs="仿宋_GB2312"/>
                <w:b/>
                <w:bCs/>
                <w:color w:val="000000"/>
                <w:kern w:val="0"/>
                <w:sz w:val="24"/>
              </w:rPr>
              <w:t>864</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r>
              <w:rPr>
                <w:rFonts w:hint="eastAsia" w:ascii="仿宋_GB2312" w:hAnsi="宋体" w:eastAsia="仿宋_GB2312" w:cs="仿宋_GB2312"/>
                <w:b/>
                <w:bCs/>
                <w:color w:val="000000"/>
                <w:kern w:val="0"/>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r>
              <w:rPr>
                <w:rFonts w:hint="eastAsia" w:ascii="仿宋_GB2312" w:hAnsi="宋体" w:eastAsia="仿宋_GB2312" w:cs="仿宋_GB2312"/>
                <w:b/>
                <w:bCs/>
                <w:color w:val="000000"/>
                <w:kern w:val="0"/>
                <w:sz w:val="24"/>
              </w:rPr>
              <w:t>864</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仿宋_GB2312" w:hAnsi="仿宋_GB2312" w:eastAsia="仿宋_GB2312" w:cs="仿宋_GB2312"/>
                <w:b/>
                <w:bCs/>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专业选修课程</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基础会计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nil"/>
              <w:left w:val="nil"/>
              <w:bottom w:val="nil"/>
              <w:right w:val="nil"/>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电子商务基础</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36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网上商店运营与管理</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选修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r>
        <w:tblPrEx>
          <w:tblCellMar>
            <w:top w:w="0" w:type="dxa"/>
            <w:left w:w="0" w:type="dxa"/>
            <w:bottom w:w="0" w:type="dxa"/>
            <w:right w:w="0" w:type="dxa"/>
          </w:tblCellMar>
        </w:tblPrEx>
        <w:trPr>
          <w:trHeight w:val="284"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216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216</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p>
            <w:pPr>
              <w:spacing w:line="560" w:lineRule="exact"/>
              <w:jc w:val="center"/>
              <w:rPr>
                <w:rFonts w:ascii="仿宋_GB2312" w:hAnsi="仿宋_GB2312" w:eastAsia="仿宋_GB2312" w:cs="仿宋_GB2312"/>
                <w:b/>
                <w:bCs/>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b/>
                <w:bCs/>
                <w:sz w:val="24"/>
              </w:rPr>
            </w:pPr>
          </w:p>
        </w:tc>
      </w:tr>
      <w:tr>
        <w:tblPrEx>
          <w:tblCellMar>
            <w:top w:w="0" w:type="dxa"/>
            <w:left w:w="0" w:type="dxa"/>
            <w:bottom w:w="0" w:type="dxa"/>
            <w:right w:w="0" w:type="dxa"/>
          </w:tblCellMar>
        </w:tblPrEx>
        <w:trPr>
          <w:trHeight w:val="447"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综合实训课程</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跟岗实习</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r>
      <w:tr>
        <w:tblPrEx>
          <w:tblCellMar>
            <w:top w:w="0" w:type="dxa"/>
            <w:left w:w="0" w:type="dxa"/>
            <w:bottom w:w="0" w:type="dxa"/>
            <w:right w:w="0" w:type="dxa"/>
          </w:tblCellMar>
        </w:tblPrEx>
        <w:trPr>
          <w:trHeight w:val="629"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sz w:val="24"/>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顶岗生产实习</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500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r>
      <w:tr>
        <w:tblPrEx>
          <w:tblCellMar>
            <w:top w:w="0" w:type="dxa"/>
            <w:left w:w="0" w:type="dxa"/>
            <w:bottom w:w="0" w:type="dxa"/>
            <w:right w:w="0" w:type="dxa"/>
          </w:tblCellMar>
        </w:tblPrEx>
        <w:trPr>
          <w:trHeight w:val="53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1000</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1000</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r>
      <w:tr>
        <w:tblPrEx>
          <w:tblCellMar>
            <w:top w:w="0" w:type="dxa"/>
            <w:left w:w="0" w:type="dxa"/>
            <w:bottom w:w="0" w:type="dxa"/>
            <w:right w:w="0" w:type="dxa"/>
          </w:tblCellMar>
        </w:tblPrEx>
        <w:trPr>
          <w:trHeight w:val="405" w:hRule="atLeast"/>
        </w:trPr>
        <w:tc>
          <w:tcPr>
            <w:tcW w:w="3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3799</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4"/>
              </w:rPr>
            </w:pPr>
          </w:p>
        </w:tc>
      </w:tr>
    </w:tbl>
    <w:p>
      <w:pPr>
        <w:pStyle w:val="11"/>
        <w:spacing w:beforeLines="20" w:beforeAutospacing="0" w:afterLines="20" w:afterAutospacing="0" w:line="560" w:lineRule="exact"/>
        <w:ind w:firstLine="640" w:firstLineChars="200"/>
        <w:rPr>
          <w:rStyle w:val="20"/>
          <w:rFonts w:ascii="仿宋" w:hAnsi="仿宋" w:eastAsia="仿宋"/>
          <w:bCs w:val="0"/>
          <w:sz w:val="32"/>
          <w:szCs w:val="32"/>
        </w:rPr>
      </w:pPr>
      <w:bookmarkStart w:id="10" w:name="_Toc88037567"/>
      <w:r>
        <w:rPr>
          <w:rFonts w:hint="eastAsia" w:ascii="仿宋" w:hAnsi="仿宋" w:eastAsia="仿宋" w:cs="宋体"/>
          <w:sz w:val="32"/>
          <w:szCs w:val="32"/>
        </w:rPr>
        <w:t>本专业三年总学时为3799学时，其中文化基础课1107学时，占29.1%，专业技能课1476学时，专占38.8%；跟岗实习与顶岗生产实习1000学时，占26.3%。学校可以根据自身实际上下浮动，但要达到基本的教学要求。</w:t>
      </w:r>
    </w:p>
    <w:p>
      <w:pPr>
        <w:pStyle w:val="11"/>
        <w:spacing w:beforeLines="20" w:beforeAutospacing="0" w:afterLines="20" w:afterAutospacing="0" w:line="560" w:lineRule="exact"/>
        <w:ind w:firstLine="640" w:firstLineChars="200"/>
        <w:rPr>
          <w:rStyle w:val="20"/>
          <w:rFonts w:eastAsia="黑体"/>
          <w:bCs w:val="0"/>
          <w:sz w:val="32"/>
          <w:szCs w:val="32"/>
        </w:rPr>
      </w:pPr>
      <w:r>
        <w:rPr>
          <w:rStyle w:val="20"/>
          <w:rFonts w:hint="eastAsia" w:eastAsia="黑体"/>
          <w:bCs w:val="0"/>
          <w:sz w:val="32"/>
          <w:szCs w:val="32"/>
        </w:rPr>
        <w:t>八、实施保障</w:t>
      </w:r>
      <w:bookmarkEnd w:id="10"/>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（一）师资队伍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校外考察，学习先进的办学思路和经验;选派专业教师到企业接受专业新技术培训、与技术专家合作开展技术服务;请行业专家到校举办专业新技术报告会和高技能传授活动;制订吸引政策，引进、聘请物流行业企业技术专家、技能专家充实专业带头人、骨干教师队伍。</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1.专业带头人的培养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行业、企业共同制定专业带头人选拔培养标准，通过到高校进修、到知名物流企业实践锻炼、参加教研会议等途径，培养和引进高素质“双师型”专业带头人。专业带头人需具有“双师型”教师资格，能够把握物流管理专业知识前沿，熟悉现代物流管理现状，具有较高的物流管理实际操作技能和丰富经验。专业带头人不但要带领师资队伍进行专业建设，还要能较高水平的完成教学和教学管理以及科研、技术服务方面的工作。</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2.青年骨干教师的培养</w:t>
      </w:r>
    </w:p>
    <w:p>
      <w:pPr>
        <w:spacing w:line="560" w:lineRule="exact"/>
        <w:ind w:firstLine="640" w:firstLineChars="200"/>
        <w:rPr>
          <w:rFonts w:ascii="仿宋_GB2312" w:hAnsi="仿宋_GB2312" w:eastAsia="仿宋_GB2312" w:cs="仿宋_GB2312"/>
          <w:b/>
          <w:bCs/>
          <w:color w:val="000000"/>
          <w:sz w:val="32"/>
          <w:szCs w:val="32"/>
          <w:lang w:bidi="en-US"/>
        </w:rPr>
      </w:pPr>
      <w:r>
        <w:rPr>
          <w:rFonts w:hint="eastAsia" w:ascii="仿宋_GB2312" w:hAnsi="仿宋_GB2312" w:eastAsia="仿宋_GB2312" w:cs="仿宋_GB2312"/>
          <w:sz w:val="32"/>
          <w:szCs w:val="32"/>
        </w:rPr>
        <w:t>采取培训、研修，企业顶岗实践、开展科研活动等途径，培养在教学、课程建设、社会服务领域独当一面的骨干教师。培养骨干教师的职业能力，需业务能力强，教学质量评价优秀，能够承担工作过程导向的课程开发工作，主讲主干课程或核心课程;具有本专业课程建设与实训基地建设工作的能力;取得相应职业资格证书，达到“双师”素质标准;有一定的企业技术服务经历，具有较强的实践动手能力和一定的科技服务、社会培训能力。</w:t>
      </w:r>
    </w:p>
    <w:p>
      <w:pPr>
        <w:pStyle w:val="24"/>
        <w:numPr>
          <w:ilvl w:val="0"/>
          <w:numId w:val="2"/>
        </w:numPr>
        <w:spacing w:beforeLines="50" w:afterLines="50" w:line="560" w:lineRule="exact"/>
        <w:ind w:firstLineChars="0"/>
        <w:rPr>
          <w:rFonts w:ascii="楷体_GB2312" w:eastAsia="楷体_GB2312"/>
          <w:b/>
          <w:sz w:val="32"/>
          <w:szCs w:val="32"/>
        </w:rPr>
      </w:pPr>
      <w:r>
        <w:rPr>
          <w:rFonts w:hint="eastAsia" w:ascii="楷体_GB2312" w:eastAsia="楷体_GB2312"/>
          <w:b/>
          <w:sz w:val="32"/>
          <w:szCs w:val="32"/>
        </w:rPr>
        <w:t>教学设施</w:t>
      </w:r>
    </w:p>
    <w:p>
      <w:pPr>
        <w:pStyle w:val="18"/>
        <w:spacing w:line="560" w:lineRule="exact"/>
        <w:ind w:firstLine="640" w:firstLineChars="200"/>
        <w:rPr>
          <w:rFonts w:hint="eastAsia" w:ascii="仿宋" w:hAnsi="仿宋" w:eastAsia="仿宋" w:cs="仿宋"/>
          <w:b w:val="0"/>
          <w:bCs/>
          <w:sz w:val="32"/>
          <w:szCs w:val="32"/>
        </w:rPr>
      </w:pPr>
      <w:bookmarkStart w:id="11" w:name="_Toc26943_WPSOffice_Level2"/>
      <w:bookmarkStart w:id="12" w:name="_Toc19483_WPSOffice_Level2"/>
      <w:r>
        <w:rPr>
          <w:rFonts w:hint="eastAsia" w:ascii="仿宋" w:hAnsi="仿宋" w:eastAsia="仿宋" w:cs="仿宋"/>
          <w:b w:val="0"/>
          <w:bCs/>
          <w:sz w:val="32"/>
          <w:szCs w:val="32"/>
        </w:rPr>
        <w:t>1.校内实训室</w:t>
      </w:r>
      <w:bookmarkEnd w:id="11"/>
      <w:bookmarkEnd w:id="12"/>
    </w:p>
    <w:p>
      <w:pPr>
        <w:spacing w:line="560" w:lineRule="exact"/>
        <w:ind w:firstLine="640" w:firstLineChars="200"/>
        <w:rPr>
          <w:rFonts w:ascii="黑体" w:hAnsi="黑体" w:eastAsia="黑体"/>
          <w:b/>
          <w:bCs/>
          <w:color w:val="000000"/>
          <w:sz w:val="24"/>
          <w:lang w:bidi="en-US"/>
        </w:rPr>
      </w:pPr>
      <w:r>
        <w:rPr>
          <w:rFonts w:hint="eastAsia" w:ascii="仿宋_GB2312" w:hAnsi="仿宋_GB2312" w:eastAsia="仿宋_GB2312" w:cs="仿宋_GB2312"/>
          <w:sz w:val="32"/>
          <w:szCs w:val="32"/>
        </w:rPr>
        <w:t>校内实训室主要设施设备及数量见下表：</w:t>
      </w:r>
    </w:p>
    <w:tbl>
      <w:tblPr>
        <w:tblStyle w:val="13"/>
        <w:tblW w:w="7976" w:type="dxa"/>
        <w:tblInd w:w="93" w:type="dxa"/>
        <w:tblLayout w:type="fixed"/>
        <w:tblCellMar>
          <w:top w:w="0" w:type="dxa"/>
          <w:left w:w="108" w:type="dxa"/>
          <w:bottom w:w="0" w:type="dxa"/>
          <w:right w:w="108" w:type="dxa"/>
        </w:tblCellMar>
      </w:tblPr>
      <w:tblGrid>
        <w:gridCol w:w="718"/>
        <w:gridCol w:w="1042"/>
        <w:gridCol w:w="4000"/>
        <w:gridCol w:w="1366"/>
        <w:gridCol w:w="850"/>
      </w:tblGrid>
      <w:tr>
        <w:tblPrEx>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实训场所</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kern w:val="0"/>
                <w:sz w:val="32"/>
                <w:szCs w:val="32"/>
              </w:rPr>
              <w:t>主要功能</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工位数</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560" w:lineRule="exact"/>
              <w:jc w:val="center"/>
              <w:textAlignment w:val="top"/>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备注</w:t>
            </w:r>
          </w:p>
        </w:tc>
      </w:tr>
      <w:tr>
        <w:tblPrEx>
          <w:tblCellMar>
            <w:top w:w="0" w:type="dxa"/>
            <w:left w:w="108" w:type="dxa"/>
            <w:bottom w:w="0" w:type="dxa"/>
            <w:right w:w="108" w:type="dxa"/>
          </w:tblCellMar>
        </w:tblPrEx>
        <w:trPr>
          <w:trHeight w:val="645" w:hRule="atLeast"/>
        </w:trPr>
        <w:tc>
          <w:tcPr>
            <w:tcW w:w="718"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港口运输实训室</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集装箱进出口主要流程</w:t>
            </w:r>
          </w:p>
        </w:tc>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560" w:lineRule="exact"/>
              <w:jc w:val="center"/>
              <w:rPr>
                <w:rFonts w:ascii="仿宋_GB2312" w:hAnsi="仿宋_GB2312" w:eastAsia="仿宋_GB2312" w:cs="仿宋_GB2312"/>
                <w:b/>
                <w:bCs/>
                <w:color w:val="000000"/>
                <w:sz w:val="32"/>
                <w:szCs w:val="32"/>
              </w:rPr>
            </w:pPr>
          </w:p>
        </w:tc>
      </w:tr>
      <w:tr>
        <w:tblPrEx>
          <w:tblCellMar>
            <w:top w:w="0" w:type="dxa"/>
            <w:left w:w="108" w:type="dxa"/>
            <w:bottom w:w="0" w:type="dxa"/>
            <w:right w:w="108" w:type="dxa"/>
          </w:tblCellMar>
        </w:tblPrEx>
        <w:trPr>
          <w:trHeight w:val="49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进出口单证流程</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49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仿真集装箱装卸机械操作方法</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国际货运代理流程</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270"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进出场管理</w:t>
            </w:r>
          </w:p>
        </w:tc>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042"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物流计算机房</w:t>
            </w:r>
          </w:p>
        </w:tc>
        <w:tc>
          <w:tcPr>
            <w:tcW w:w="4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计算机基础能力</w:t>
            </w:r>
          </w:p>
        </w:tc>
        <w:tc>
          <w:tcPr>
            <w:tcW w:w="1366"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办公软件应用</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信息化办公能力</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网络安全教育</w:t>
            </w:r>
          </w:p>
        </w:tc>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042"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物流企业文化实训室</w:t>
            </w:r>
          </w:p>
        </w:tc>
        <w:tc>
          <w:tcPr>
            <w:tcW w:w="4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培养职业意识</w:t>
            </w:r>
          </w:p>
        </w:tc>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客户服务精神</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企业接待流程</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商务谈判礼仪</w:t>
            </w:r>
          </w:p>
        </w:tc>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042"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物流软件操作室</w:t>
            </w:r>
          </w:p>
        </w:tc>
        <w:tc>
          <w:tcPr>
            <w:tcW w:w="4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3D仿真托盘堆码</w:t>
            </w:r>
          </w:p>
        </w:tc>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企业经营模拟实训</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仓储管理操作流程</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配送管理流程</w:t>
            </w:r>
          </w:p>
        </w:tc>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042" w:type="dxa"/>
            <w:vMerge w:val="restart"/>
            <w:tcBorders>
              <w:top w:val="single" w:color="auto"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仓储配送快递一体实训室</w:t>
            </w:r>
          </w:p>
        </w:tc>
        <w:tc>
          <w:tcPr>
            <w:tcW w:w="4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自动化立体仓库模拟实训</w:t>
            </w:r>
          </w:p>
        </w:tc>
        <w:tc>
          <w:tcPr>
            <w:tcW w:w="13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电子拣选操作</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快递业务操作流程</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仓库管理能力</w:t>
            </w:r>
          </w:p>
        </w:tc>
        <w:tc>
          <w:tcPr>
            <w:tcW w:w="1366" w:type="dxa"/>
            <w:vMerge w:val="continue"/>
            <w:tcBorders>
              <w:left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375" w:hRule="atLeast"/>
        </w:trPr>
        <w:tc>
          <w:tcPr>
            <w:tcW w:w="71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1042"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sz w:val="32"/>
                <w:szCs w:val="32"/>
              </w:rPr>
            </w:pPr>
          </w:p>
        </w:tc>
        <w:tc>
          <w:tcPr>
            <w:tcW w:w="4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60" w:lineRule="exac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运输调度管理能力</w:t>
            </w:r>
          </w:p>
        </w:tc>
        <w:tc>
          <w:tcPr>
            <w:tcW w:w="13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kern w:val="0"/>
                <w:sz w:val="32"/>
                <w:szCs w:val="32"/>
              </w:rPr>
            </w:pPr>
          </w:p>
        </w:tc>
      </w:tr>
    </w:tbl>
    <w:p>
      <w:pPr>
        <w:spacing w:line="560" w:lineRule="exact"/>
        <w:ind w:firstLine="560" w:firstLineChars="200"/>
        <w:jc w:val="left"/>
        <w:rPr>
          <w:rFonts w:hint="eastAsia" w:ascii="仿宋" w:hAnsi="仿宋" w:eastAsia="仿宋" w:cs="仿宋"/>
          <w:b w:val="0"/>
          <w:bCs/>
          <w:sz w:val="28"/>
          <w:szCs w:val="28"/>
        </w:rPr>
      </w:pPr>
      <w:r>
        <w:rPr>
          <w:rFonts w:hint="eastAsia" w:ascii="仿宋" w:hAnsi="仿宋" w:eastAsia="仿宋" w:cs="仿宋"/>
          <w:b w:val="0"/>
          <w:bCs/>
          <w:sz w:val="28"/>
          <w:szCs w:val="28"/>
        </w:rPr>
        <w:t>2.校外实训条件</w:t>
      </w:r>
    </w:p>
    <w:p>
      <w:pPr>
        <w:spacing w:line="560" w:lineRule="exact"/>
        <w:ind w:firstLine="640" w:firstLineChars="200"/>
        <w:jc w:val="left"/>
        <w:rPr>
          <w:rFonts w:ascii="仿宋_GB2312" w:hAnsi="仿宋_GB2312" w:eastAsia="仿宋_GB2312" w:cs="仿宋_GB2312"/>
          <w:b/>
          <w:bCs/>
          <w:color w:val="000000"/>
          <w:sz w:val="32"/>
          <w:szCs w:val="32"/>
          <w:lang w:bidi="en-US"/>
        </w:rPr>
      </w:pPr>
      <w:r>
        <w:rPr>
          <w:rFonts w:hint="eastAsia" w:ascii="仿宋_GB2312" w:hAnsi="仿宋_GB2312" w:eastAsia="仿宋_GB2312" w:cs="仿宋_GB2312"/>
          <w:sz w:val="32"/>
          <w:szCs w:val="32"/>
        </w:rPr>
        <w:t>先后与广西金桥国际物流有限公司、中国邮政速递有限公司防城港分公司、广西德邦物流有限公司、广西钦州振宝食品商贸有限公司等建立了相对稳定的校外实训基地，为学生提供满足专业技能培养需求的工作岗位，使学生在真实环境下进行岗位实践；配备业务强、技术精，并具有一定理论水平、责任心强，有相应技术职务的指导教师，以保证实训工作质量的不断提高和实训基地建设的不断加强；承担学生职业素质培养工作，在学生取得实际工作经验的同时，培养团队协作精神、群体沟通技巧、组织管理能力等个人综合素质，为学生今后从事各项工作打下基础。</w:t>
      </w:r>
    </w:p>
    <w:p>
      <w:pPr>
        <w:spacing w:beforeLines="50" w:afterLines="50" w:line="560" w:lineRule="exact"/>
        <w:ind w:left="481"/>
        <w:rPr>
          <w:rFonts w:ascii="楷体_GB2312" w:eastAsia="楷体_GB2312"/>
          <w:b/>
          <w:sz w:val="32"/>
          <w:szCs w:val="32"/>
        </w:rPr>
      </w:pPr>
      <w:r>
        <w:rPr>
          <w:rFonts w:hint="eastAsia" w:ascii="楷体_GB2312" w:eastAsia="楷体_GB2312"/>
          <w:b/>
          <w:sz w:val="32"/>
          <w:szCs w:val="32"/>
        </w:rPr>
        <w:t>（三）教学资源</w:t>
      </w:r>
    </w:p>
    <w:p>
      <w:pPr>
        <w:spacing w:line="560" w:lineRule="exact"/>
        <w:ind w:firstLine="640" w:firstLineChars="200"/>
        <w:jc w:val="left"/>
        <w:rPr>
          <w:rFonts w:ascii="黑体" w:hAnsi="黑体" w:eastAsia="黑体"/>
          <w:b/>
          <w:bCs/>
          <w:color w:val="000000"/>
          <w:sz w:val="24"/>
          <w:lang w:bidi="en-US"/>
        </w:rPr>
      </w:pPr>
      <w:r>
        <w:rPr>
          <w:rFonts w:hint="eastAsia" w:ascii="仿宋_GB2312" w:hAnsi="仿宋_GB2312" w:eastAsia="仿宋_GB2312" w:cs="仿宋_GB2312"/>
          <w:sz w:val="32"/>
          <w:szCs w:val="32"/>
        </w:rPr>
        <w:t>为适应中等职业学校国家示范建设的要求，进一步加快学校信息化建设步伐，着力建设数字化校园，全面建设职业教育数字化优质教学资源库，推进学校数字化教学资源统筹共建共享，专业建设了如下教学资源库：</w:t>
      </w:r>
    </w:p>
    <w:tbl>
      <w:tblPr>
        <w:tblStyle w:val="14"/>
        <w:tblW w:w="8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0"/>
        <w:gridCol w:w="3598"/>
        <w:gridCol w:w="100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序号</w:t>
            </w:r>
          </w:p>
        </w:tc>
        <w:tc>
          <w:tcPr>
            <w:tcW w:w="1530" w:type="dxa"/>
          </w:tcPr>
          <w:p>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成果形式</w:t>
            </w:r>
          </w:p>
        </w:tc>
        <w:tc>
          <w:tcPr>
            <w:tcW w:w="3598" w:type="dxa"/>
          </w:tcPr>
          <w:p>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名称</w:t>
            </w:r>
          </w:p>
        </w:tc>
        <w:tc>
          <w:tcPr>
            <w:tcW w:w="1000" w:type="dxa"/>
          </w:tcPr>
          <w:p>
            <w:pPr>
              <w:spacing w:line="500" w:lineRule="exact"/>
              <w:jc w:val="center"/>
              <w:rPr>
                <w:rFonts w:ascii="仿宋_GB2312" w:hAnsi="仿宋" w:eastAsia="仿宋_GB2312" w:cs="仿宋"/>
                <w:b/>
                <w:bCs/>
                <w:sz w:val="32"/>
                <w:szCs w:val="32"/>
              </w:rPr>
            </w:pPr>
            <w:r>
              <w:rPr>
                <w:rFonts w:hint="eastAsia" w:ascii="仿宋_GB2312" w:hAnsi="仿宋" w:eastAsia="仿宋_GB2312" w:cs="仿宋"/>
                <w:b/>
                <w:bCs/>
                <w:sz w:val="32"/>
                <w:szCs w:val="32"/>
              </w:rPr>
              <w:t>数量</w:t>
            </w:r>
          </w:p>
        </w:tc>
        <w:tc>
          <w:tcPr>
            <w:tcW w:w="937" w:type="dxa"/>
          </w:tcPr>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校本教材</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《快递操作实务》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微课</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《物流基础》</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《快递操作实务》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教学课件</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电子教案</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教学动画</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视频教学</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教学案例</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《集装箱码头运营实务》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1530"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实训软件</w:t>
            </w: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《供应链推演沙盘》</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restart"/>
          </w:tcPr>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p>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《运输作业实务》</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《仓储与配送》</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3D组托</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1530"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c>
          <w:tcPr>
            <w:tcW w:w="3598"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连锁企业运营</w:t>
            </w:r>
          </w:p>
        </w:tc>
        <w:tc>
          <w:tcPr>
            <w:tcW w:w="1000" w:type="dxa"/>
          </w:tcPr>
          <w:p>
            <w:pPr>
              <w:widowControl/>
              <w:spacing w:line="50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937" w:type="dxa"/>
            <w:vMerge w:val="continue"/>
          </w:tcPr>
          <w:p>
            <w:pPr>
              <w:widowControl/>
              <w:spacing w:line="500" w:lineRule="exact"/>
              <w:jc w:val="center"/>
              <w:textAlignment w:val="center"/>
              <w:rPr>
                <w:rFonts w:ascii="仿宋_GB2312" w:hAnsi="仿宋_GB2312" w:eastAsia="仿宋_GB2312" w:cs="仿宋_GB2312"/>
                <w:color w:val="000000"/>
                <w:kern w:val="0"/>
                <w:sz w:val="32"/>
                <w:szCs w:val="32"/>
              </w:rPr>
            </w:pPr>
          </w:p>
        </w:tc>
      </w:tr>
    </w:tbl>
    <w:p>
      <w:pPr>
        <w:spacing w:beforeLines="50" w:afterLines="50" w:line="560" w:lineRule="exact"/>
        <w:ind w:firstLine="643" w:firstLineChars="200"/>
        <w:rPr>
          <w:rFonts w:ascii="楷体_GB2312" w:eastAsia="楷体_GB2312"/>
          <w:b/>
          <w:sz w:val="32"/>
          <w:szCs w:val="32"/>
        </w:rPr>
      </w:pPr>
    </w:p>
    <w:p>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（四）教学方法</w:t>
      </w:r>
    </w:p>
    <w:p>
      <w:pPr>
        <w:spacing w:line="560" w:lineRule="exact"/>
        <w:rPr>
          <w:rFonts w:ascii="黑体" w:hAnsi="黑体" w:eastAsia="黑体"/>
          <w:b/>
          <w:bCs/>
          <w:color w:val="000000"/>
          <w:sz w:val="24"/>
          <w:lang w:bidi="en-US"/>
        </w:rPr>
      </w:pPr>
      <w:r>
        <w:rPr>
          <w:rFonts w:hint="eastAsia" w:ascii="黑体" w:hAnsi="黑体" w:eastAsia="黑体"/>
          <w:b/>
          <w:bCs/>
          <w:color w:val="000000"/>
          <w:sz w:val="24"/>
          <w:lang w:bidi="en-US"/>
        </w:rPr>
        <w:t xml:space="preserve">    </w:t>
      </w:r>
      <w:r>
        <w:rPr>
          <w:rFonts w:hint="eastAsia" w:ascii="仿宋_GB2312" w:hAnsi="仿宋_GB2312" w:eastAsia="仿宋_GB2312" w:cs="仿宋_GB2312"/>
          <w:sz w:val="32"/>
          <w:szCs w:val="32"/>
        </w:rPr>
        <w:t>积极改革教学方法，采用“角色扮演教学法”、“案例教学法”、“互动教学法”、“任务驱动法”、“四段教学法”、“理实一体化教学方法”等切实提高课堂教学质量。让学生通过对基本理论的掌握和应用，达到对实践的指导。变“单向教学”为“双向教学”，调动学生学习的积极性和主动性。创造一种轻松和谐的氛围,使学生变被动学习为主动学习。</w:t>
      </w:r>
    </w:p>
    <w:p>
      <w:pPr>
        <w:spacing w:beforeLines="50" w:afterLines="50" w:line="560" w:lineRule="exact"/>
        <w:ind w:firstLine="643" w:firstLineChars="200"/>
        <w:rPr>
          <w:rFonts w:ascii="楷体_GB2312" w:eastAsia="楷体_GB2312"/>
          <w:b/>
          <w:sz w:val="32"/>
          <w:szCs w:val="32"/>
        </w:rPr>
      </w:pPr>
      <w:r>
        <w:rPr>
          <w:rFonts w:hint="eastAsia" w:ascii="楷体_GB2312" w:eastAsia="楷体_GB2312"/>
          <w:b/>
          <w:sz w:val="32"/>
          <w:szCs w:val="32"/>
        </w:rPr>
        <w:t>（五）学习评价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在考核方式上，建立体现评价主体、评价方式、评价过程的多元化评价体系，积极吸纳企业参与学生的考核评价，通过多样式的考核方式，实现对学生专业技能和职业素养的综合评价。注重过程评价与结果评价相结合，结果评价由笔试和实操两部分组成。笔试主要考核学习者对本课程的基本概念和基本知识掌握程度；实操主要考核学习者对专业知识的实际应用能力。 </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ascii="仿宋_GB2312" w:hAnsi="宋体" w:eastAsia="仿宋_GB2312"/>
          <w:b w:val="0"/>
          <w:bCs/>
          <w:sz w:val="32"/>
          <w:szCs w:val="32"/>
        </w:rPr>
        <w:t xml:space="preserve"> 1.课程教学考核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课程：学习成绩是根据学生期末考试成绩、期中考试成绩和平时成绩（包括平时考勤、完成实验、课外作业、课堂讨论、平时测验等）综合评定。基本原则：进行期中考试的课程，期末考试成绩占60%、期中考试及综合测验成绩占30%、平时成绩占10%，其中实训实验比重较大的课程可期末考试成绩占60%，实训实验成绩占30%，平时成绩占10%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考查课程：学习成绩根据平时成绩和阶段性测验成绩综合评定。平时成绩可根据学生出勤、听课、作业、课堂讨论等情况评定，一般测验成绩占总成绩的60%，平时成绩占40%（出勤为20%、听课、作业、课堂讨论等为20%）。 综合实训课程按实际操作成绩评定。</w:t>
      </w:r>
    </w:p>
    <w:p>
      <w:pPr>
        <w:widowControl/>
        <w:shd w:val="clear" w:color="auto" w:fill="FFFFFF"/>
        <w:spacing w:line="560" w:lineRule="exact"/>
        <w:ind w:firstLine="640" w:firstLineChars="200"/>
        <w:jc w:val="left"/>
        <w:rPr>
          <w:rFonts w:ascii="仿宋_GB2312" w:hAnsi="宋体" w:eastAsia="仿宋_GB2312"/>
          <w:b w:val="0"/>
          <w:bCs/>
          <w:sz w:val="32"/>
          <w:szCs w:val="32"/>
        </w:rPr>
      </w:pPr>
      <w:r>
        <w:rPr>
          <w:rFonts w:hint="eastAsia" w:ascii="仿宋_GB2312" w:hAnsi="宋体" w:eastAsia="仿宋_GB2312"/>
          <w:b w:val="0"/>
          <w:bCs/>
          <w:sz w:val="32"/>
          <w:szCs w:val="32"/>
        </w:rPr>
        <w:t xml:space="preserve">2.实践教学环节课程考核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实习考核成绩由学生自评、企业考核、实习报告和实习带队教师考评四部分组成。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（1）学生自评：占考核成绩30%，由学生根据自己在企业的工作态度和掌握的专业技能进行综合评定。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（2）企业考核：占考核成绩50%，由企业根据学生在企业的工作态度和工作任务完成情况进行综合评定。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（3）实习报告：占考核成绩10％，根据学生总结能力予以评定。实习报告中应包括实习计划的执行情况、质量分析与评估、存在问题与解决措施、经验体会与建议等。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（4）实习教师考评：占考核成绩10%，由实习教师根据学生在企业的工作态度、遵守纪律和掌握的专业技能进行综合评定。</w:t>
      </w:r>
    </w:p>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教学评价比例分布表</w:t>
      </w:r>
    </w:p>
    <w:tbl>
      <w:tblPr>
        <w:tblStyle w:val="14"/>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856"/>
        <w:gridCol w:w="1066"/>
        <w:gridCol w:w="223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82"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课程分类</w:t>
            </w:r>
          </w:p>
        </w:tc>
        <w:tc>
          <w:tcPr>
            <w:tcW w:w="1856"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评分项目</w:t>
            </w:r>
          </w:p>
        </w:tc>
        <w:tc>
          <w:tcPr>
            <w:tcW w:w="1066"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分值比例</w:t>
            </w:r>
          </w:p>
        </w:tc>
        <w:tc>
          <w:tcPr>
            <w:tcW w:w="2234"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评价指标</w:t>
            </w:r>
          </w:p>
        </w:tc>
        <w:tc>
          <w:tcPr>
            <w:tcW w:w="1354" w:type="dxa"/>
            <w:shd w:val="clear" w:color="auto" w:fill="auto"/>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公共基础课程</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平时表现</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包括出勤情况学习纪律、学习态度、作业情况、素养。</w:t>
            </w:r>
          </w:p>
        </w:tc>
        <w:tc>
          <w:tcPr>
            <w:tcW w:w="135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w:t>
            </w:r>
          </w:p>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测试（段考）</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取期中测验成绩。</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期考成绩</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专业课程</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包括考勤情况、学习态度、作业情况等。</w:t>
            </w:r>
          </w:p>
        </w:tc>
        <w:tc>
          <w:tcPr>
            <w:tcW w:w="135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学生、教师、企业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期末考试</w:t>
            </w:r>
          </w:p>
          <w:p>
            <w:pPr>
              <w:spacing w:line="440" w:lineRule="exact"/>
              <w:jc w:val="center"/>
              <w:rPr>
                <w:rFonts w:ascii="仿宋_GB2312" w:hAnsi="仿宋_GB2312" w:eastAsia="仿宋_GB2312" w:cs="仿宋_GB2312"/>
                <w:kern w:val="0"/>
                <w:sz w:val="32"/>
                <w:szCs w:val="32"/>
              </w:rPr>
            </w:pP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期末统一考试或有关职业资格证书考试的成绩替代。</w:t>
            </w:r>
          </w:p>
        </w:tc>
        <w:tc>
          <w:tcPr>
            <w:tcW w:w="1354" w:type="dxa"/>
            <w:vMerge w:val="continue"/>
            <w:vAlign w:val="center"/>
          </w:tcPr>
          <w:p>
            <w:pPr>
              <w:spacing w:line="44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顶岗实习</w:t>
            </w: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学生自我评价</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p>
        </w:tc>
        <w:tc>
          <w:tcPr>
            <w:tcW w:w="2234" w:type="dxa"/>
            <w:vMerge w:val="restart"/>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敬业精神、工作表现、团队精神、人际关系、创新精神、实践能力、</w:t>
            </w: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实习单位评定</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w:t>
            </w:r>
          </w:p>
        </w:tc>
        <w:tc>
          <w:tcPr>
            <w:tcW w:w="2234" w:type="dxa"/>
            <w:vMerge w:val="continue"/>
            <w:vAlign w:val="center"/>
          </w:tcPr>
          <w:p>
            <w:pPr>
              <w:spacing w:line="440" w:lineRule="exact"/>
              <w:jc w:val="center"/>
              <w:rPr>
                <w:rFonts w:ascii="仿宋_GB2312" w:hAnsi="仿宋_GB2312" w:eastAsia="仿宋_GB2312" w:cs="仿宋_GB2312"/>
                <w:kern w:val="0"/>
                <w:sz w:val="32"/>
                <w:szCs w:val="32"/>
              </w:rPr>
            </w:pP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2" w:type="dxa"/>
            <w:vMerge w:val="continue"/>
            <w:vAlign w:val="center"/>
          </w:tcPr>
          <w:p>
            <w:pPr>
              <w:spacing w:line="440" w:lineRule="exact"/>
              <w:jc w:val="center"/>
              <w:rPr>
                <w:rFonts w:ascii="仿宋_GB2312" w:hAnsi="仿宋_GB2312" w:eastAsia="仿宋_GB2312" w:cs="仿宋_GB2312"/>
                <w:kern w:val="0"/>
                <w:sz w:val="32"/>
                <w:szCs w:val="32"/>
              </w:rPr>
            </w:pPr>
          </w:p>
        </w:tc>
        <w:tc>
          <w:tcPr>
            <w:tcW w:w="185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带队教师评定</w:t>
            </w:r>
          </w:p>
        </w:tc>
        <w:tc>
          <w:tcPr>
            <w:tcW w:w="1066"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w:t>
            </w:r>
          </w:p>
        </w:tc>
        <w:tc>
          <w:tcPr>
            <w:tcW w:w="223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遵守实习单位规章制度等。</w:t>
            </w:r>
          </w:p>
        </w:tc>
        <w:tc>
          <w:tcPr>
            <w:tcW w:w="1354" w:type="dxa"/>
            <w:vAlign w:val="center"/>
          </w:tcPr>
          <w:p>
            <w:pPr>
              <w:spacing w:line="44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教师考评</w:t>
            </w:r>
          </w:p>
        </w:tc>
      </w:tr>
    </w:tbl>
    <w:p>
      <w:pPr>
        <w:spacing w:beforeLines="50" w:afterLines="50" w:line="560" w:lineRule="exact"/>
        <w:ind w:firstLine="964" w:firstLineChars="300"/>
        <w:rPr>
          <w:rFonts w:ascii="楷体_GB2312" w:eastAsia="楷体_GB2312"/>
          <w:b/>
          <w:sz w:val="32"/>
          <w:szCs w:val="32"/>
        </w:rPr>
      </w:pPr>
      <w:r>
        <w:rPr>
          <w:rFonts w:hint="eastAsia" w:ascii="楷体_GB2312" w:eastAsia="楷体_GB2312"/>
          <w:b/>
          <w:sz w:val="32"/>
          <w:szCs w:val="32"/>
        </w:rPr>
        <w:t>（六）质量管理</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1.根据教育部、省教育厅有关文件精神,围绕学校人才培养目标和要求,遵循教育教学规律,组织制订教学管理规章制度、各教学环节的质量标准。</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2.建立健全学校教学质量监控与保障体系,规范教学工作的各个环节,对教学工作的全过程、各环节,全方位地进行监督、检查、检测和评估。</w:t>
      </w:r>
    </w:p>
    <w:p>
      <w:pPr>
        <w:spacing w:line="560" w:lineRule="exact"/>
        <w:ind w:firstLine="640" w:firstLineChars="200"/>
        <w:rPr>
          <w:rFonts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3.建立健全教学质量信息反馈网络,对教学过程进行有效调控和优化,切实提高教学质量。</w:t>
      </w:r>
    </w:p>
    <w:p>
      <w:pPr>
        <w:spacing w:line="560" w:lineRule="exact"/>
        <w:ind w:firstLine="640" w:firstLineChars="200"/>
        <w:rPr>
          <w:rFonts w:ascii="黑体" w:hAnsi="黑体" w:eastAsia="黑体"/>
          <w:b/>
          <w:bCs/>
          <w:color w:val="000000"/>
          <w:sz w:val="24"/>
          <w:lang w:bidi="en-US"/>
        </w:rPr>
      </w:pPr>
      <w:r>
        <w:rPr>
          <w:rFonts w:hint="eastAsia" w:ascii="仿宋_GB2312" w:hAnsi="仿宋_GB2312" w:eastAsia="仿宋_GB2312" w:cs="仿宋_GB2312"/>
          <w:color w:val="000000"/>
          <w:sz w:val="32"/>
          <w:szCs w:val="32"/>
          <w:lang w:bidi="en-US"/>
        </w:rPr>
        <w:t>4.深化产教融合、校企合作，</w:t>
      </w:r>
      <w:r>
        <w:rPr>
          <w:rStyle w:val="19"/>
          <w:rFonts w:hint="eastAsia" w:ascii="仿宋_GB2312" w:hAnsi="仿宋_GB2312" w:eastAsia="仿宋_GB2312" w:cs="仿宋_GB2312"/>
          <w:b w:val="0"/>
          <w:sz w:val="32"/>
          <w:szCs w:val="32"/>
        </w:rPr>
        <w:t>与行业企业共建人才质量培养评价体系。</w:t>
      </w:r>
    </w:p>
    <w:p>
      <w:pPr>
        <w:pStyle w:val="11"/>
        <w:spacing w:beforeLines="20" w:beforeAutospacing="0" w:afterLines="20" w:afterAutospacing="0" w:line="560" w:lineRule="exact"/>
        <w:ind w:firstLine="640" w:firstLineChars="200"/>
        <w:rPr>
          <w:rStyle w:val="20"/>
          <w:rFonts w:eastAsia="黑体"/>
          <w:bCs w:val="0"/>
          <w:sz w:val="32"/>
          <w:szCs w:val="32"/>
        </w:rPr>
      </w:pPr>
      <w:bookmarkStart w:id="13" w:name="_Toc88037568"/>
      <w:r>
        <w:rPr>
          <w:rStyle w:val="20"/>
          <w:rFonts w:hint="eastAsia" w:eastAsia="黑体"/>
          <w:bCs w:val="0"/>
          <w:sz w:val="32"/>
          <w:szCs w:val="32"/>
        </w:rPr>
        <w:t xml:space="preserve"> 九、毕业要求</w:t>
      </w:r>
      <w:bookmarkEnd w:id="13"/>
    </w:p>
    <w:p>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1</w:t>
      </w:r>
      <w:r>
        <w:rPr>
          <w:rStyle w:val="19"/>
          <w:rFonts w:hint="eastAsia" w:ascii="仿宋_GB2312" w:hAnsi="仿宋_GB2312" w:eastAsia="仿宋_GB2312" w:cs="仿宋_GB2312"/>
          <w:b w:val="0"/>
          <w:bCs w:val="0"/>
          <w:sz w:val="32"/>
          <w:szCs w:val="32"/>
          <w:lang w:eastAsia="zh-CN"/>
        </w:rPr>
        <w:t>.</w:t>
      </w:r>
      <w:r>
        <w:rPr>
          <w:rStyle w:val="19"/>
          <w:rFonts w:hint="eastAsia" w:ascii="仿宋_GB2312" w:hAnsi="仿宋_GB2312" w:eastAsia="仿宋_GB2312" w:cs="仿宋_GB2312"/>
          <w:b w:val="0"/>
          <w:bCs w:val="0"/>
          <w:sz w:val="32"/>
          <w:szCs w:val="32"/>
        </w:rPr>
        <w:t>思想</w:t>
      </w:r>
      <w:r>
        <w:rPr>
          <w:rFonts w:hint="eastAsia" w:ascii="仿宋_GB2312" w:hAnsi="仿宋_GB2312" w:eastAsia="仿宋_GB2312" w:cs="仿宋_GB2312"/>
          <w:sz w:val="32"/>
          <w:szCs w:val="32"/>
        </w:rPr>
        <w:t>品德评价合格。</w:t>
      </w:r>
    </w:p>
    <w:p>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2</w:t>
      </w:r>
      <w:r>
        <w:rPr>
          <w:rStyle w:val="19"/>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修满教学计划规定的全部课程且成绩合格，或修满规定学分。</w:t>
      </w:r>
    </w:p>
    <w:p>
      <w:pPr>
        <w:spacing w:line="560" w:lineRule="exact"/>
        <w:ind w:firstLine="640" w:firstLineChars="200"/>
        <w:jc w:val="left"/>
        <w:rPr>
          <w:rFonts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顶岗实习或工学交替实习鉴定合格。</w:t>
      </w:r>
    </w:p>
    <w:p>
      <w:pPr>
        <w:spacing w:line="560" w:lineRule="exact"/>
        <w:ind w:firstLine="640" w:firstLineChars="200"/>
        <w:jc w:val="left"/>
        <w:rPr>
          <w:rFonts w:ascii="黑体" w:hAnsi="黑体" w:eastAsia="黑体"/>
          <w:b/>
          <w:bCs/>
          <w:color w:val="000000"/>
          <w:sz w:val="24"/>
          <w:lang w:bidi="en-US"/>
        </w:rPr>
      </w:pPr>
      <w:r>
        <w:rPr>
          <w:rStyle w:val="19"/>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rPr>
        <w:t>在校期间取得相应的技能证书。</w:t>
      </w:r>
    </w:p>
    <w:p>
      <w:pPr>
        <w:pStyle w:val="11"/>
        <w:spacing w:beforeLines="20" w:beforeAutospacing="0" w:afterLines="20" w:afterAutospacing="0" w:line="560" w:lineRule="exact"/>
        <w:ind w:firstLine="640" w:firstLineChars="200"/>
        <w:rPr>
          <w:rStyle w:val="20"/>
          <w:rFonts w:hint="eastAsia" w:eastAsia="黑体"/>
          <w:bCs w:val="0"/>
          <w:sz w:val="32"/>
          <w:szCs w:val="32"/>
          <w:lang w:eastAsia="zh-CN"/>
        </w:rPr>
      </w:pPr>
      <w:bookmarkStart w:id="14" w:name="_Toc88037569"/>
      <w:r>
        <w:rPr>
          <w:rStyle w:val="20"/>
          <w:rFonts w:hint="eastAsia" w:eastAsia="黑体"/>
          <w:bCs w:val="0"/>
          <w:sz w:val="32"/>
          <w:szCs w:val="32"/>
        </w:rPr>
        <w:t>十、附录</w:t>
      </w:r>
      <w:bookmarkEnd w:id="14"/>
      <w:r>
        <w:rPr>
          <w:rStyle w:val="20"/>
          <w:rFonts w:hint="eastAsia" w:eastAsia="黑体"/>
          <w:bCs w:val="0"/>
          <w:sz w:val="32"/>
          <w:szCs w:val="32"/>
          <w:lang w:eastAsia="zh-CN"/>
        </w:rPr>
        <w:t>（略）</w:t>
      </w:r>
      <w:bookmarkStart w:id="15" w:name="_GoBack"/>
      <w:bookmarkEnd w:id="15"/>
    </w:p>
    <w:p>
      <w:pPr>
        <w:spacing w:beforeLines="50" w:afterLines="50" w:line="560" w:lineRule="exact"/>
        <w:ind w:firstLine="472" w:firstLineChars="196"/>
        <w:rPr>
          <w:rFonts w:ascii="黑体" w:hAnsi="黑体" w:eastAsia="黑体"/>
          <w:b/>
          <w:bCs/>
          <w:color w:val="000000"/>
          <w:sz w:val="24"/>
          <w:lang w:bidi="en-US"/>
        </w:rPr>
      </w:pPr>
    </w:p>
    <w:p>
      <w:pPr>
        <w:spacing w:line="560" w:lineRule="exact"/>
      </w:pP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华文新魏" w:eastAsia="华文新魏"/>
        <w:sz w:val="21"/>
        <w:szCs w:val="21"/>
      </w:rPr>
    </w:pPr>
    <w:r>
      <w:rPr>
        <w:rFonts w:hint="eastAsia" w:ascii="华文新魏" w:eastAsia="华文新魏"/>
        <w:sz w:val="21"/>
        <w:szCs w:val="21"/>
      </w:rPr>
      <w:t xml:space="preserve">                                              防城港市理工职业学校人才培养方案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5062C"/>
    <w:multiLevelType w:val="multilevel"/>
    <w:tmpl w:val="2E25062C"/>
    <w:lvl w:ilvl="0" w:tentative="0">
      <w:start w:val="2"/>
      <w:numFmt w:val="japaneseCounting"/>
      <w:lvlText w:val="(%1）"/>
      <w:lvlJc w:val="left"/>
      <w:pPr>
        <w:ind w:left="1336" w:hanging="855"/>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1">
    <w:nsid w:val="61E4D97B"/>
    <w:multiLevelType w:val="singleLevel"/>
    <w:tmpl w:val="61E4D97B"/>
    <w:lvl w:ilvl="0" w:tentative="0">
      <w:start w:val="6"/>
      <w:numFmt w:val="chineseCount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B71"/>
    <w:rsid w:val="002F6355"/>
    <w:rsid w:val="00317513"/>
    <w:rsid w:val="00436D66"/>
    <w:rsid w:val="004C5106"/>
    <w:rsid w:val="00561CA3"/>
    <w:rsid w:val="00A261BE"/>
    <w:rsid w:val="00AE6424"/>
    <w:rsid w:val="00B708E0"/>
    <w:rsid w:val="00F03BE1"/>
    <w:rsid w:val="00F13B71"/>
    <w:rsid w:val="032C4B32"/>
    <w:rsid w:val="05576D79"/>
    <w:rsid w:val="09306EAF"/>
    <w:rsid w:val="0B0B6ED1"/>
    <w:rsid w:val="0E1862CA"/>
    <w:rsid w:val="15EA6C3F"/>
    <w:rsid w:val="175D54EB"/>
    <w:rsid w:val="191D62EE"/>
    <w:rsid w:val="22FE5D18"/>
    <w:rsid w:val="28AC55D1"/>
    <w:rsid w:val="2AE45A97"/>
    <w:rsid w:val="2E3E3B7F"/>
    <w:rsid w:val="2E5927C0"/>
    <w:rsid w:val="37573BAA"/>
    <w:rsid w:val="37D42E21"/>
    <w:rsid w:val="3A262A94"/>
    <w:rsid w:val="40E5439E"/>
    <w:rsid w:val="42502000"/>
    <w:rsid w:val="42DB5EA0"/>
    <w:rsid w:val="4357766D"/>
    <w:rsid w:val="4B670B02"/>
    <w:rsid w:val="569F0646"/>
    <w:rsid w:val="579E009D"/>
    <w:rsid w:val="5ADB7D78"/>
    <w:rsid w:val="6ED138EE"/>
    <w:rsid w:val="75EE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after="60" w:line="550" w:lineRule="exact"/>
      <w:jc w:val="center"/>
      <w:outlineLvl w:val="0"/>
    </w:pPr>
    <w:rPr>
      <w:rFonts w:eastAsia="方正小标宋简体"/>
      <w:bCs/>
      <w:kern w:val="44"/>
      <w:sz w:val="36"/>
      <w:szCs w:val="44"/>
    </w:rPr>
  </w:style>
  <w:style w:type="paragraph" w:styleId="3">
    <w:name w:val="heading 4"/>
    <w:basedOn w:val="1"/>
    <w:next w:val="1"/>
    <w:link w:val="19"/>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5">
    <w:name w:val="Plain Text"/>
    <w:basedOn w:val="1"/>
    <w:qFormat/>
    <w:uiPriority w:val="0"/>
    <w:rPr>
      <w:rFonts w:ascii="宋体" w:hAnsi="Courier New"/>
      <w:szCs w:val="20"/>
    </w:rPr>
  </w:style>
  <w:style w:type="paragraph" w:styleId="6">
    <w:name w:val="Balloon Text"/>
    <w:basedOn w:val="1"/>
    <w:link w:val="23"/>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qFormat/>
    <w:uiPriority w:val="39"/>
    <w:pPr>
      <w:widowControl/>
      <w:tabs>
        <w:tab w:val="right" w:leader="dot" w:pos="8920"/>
      </w:tabs>
      <w:spacing w:line="0" w:lineRule="atLeast"/>
      <w:ind w:left="221"/>
      <w:jc w:val="left"/>
    </w:pPr>
    <w:rPr>
      <w:rFonts w:asciiTheme="minorHAnsi" w:hAnsiTheme="minorHAnsi" w:eastAsiaTheme="minorEastAsia"/>
      <w:kern w:val="0"/>
      <w:sz w:val="22"/>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cstheme="minorBidi"/>
      <w:b/>
      <w:bCs/>
      <w:sz w:val="32"/>
      <w:szCs w:val="32"/>
      <w:lang w:bidi="he-IL"/>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customStyle="1" w:styleId="17">
    <w:name w:val="样式1"/>
    <w:basedOn w:val="1"/>
    <w:qFormat/>
    <w:uiPriority w:val="0"/>
    <w:rPr>
      <w:szCs w:val="20"/>
    </w:rPr>
  </w:style>
  <w:style w:type="paragraph" w:customStyle="1" w:styleId="18">
    <w:name w:val="列出段落1"/>
    <w:basedOn w:val="1"/>
    <w:qFormat/>
    <w:uiPriority w:val="0"/>
    <w:pPr>
      <w:ind w:firstLine="420"/>
    </w:pPr>
  </w:style>
  <w:style w:type="character" w:customStyle="1" w:styleId="19">
    <w:name w:val="标题 4 Char"/>
    <w:basedOn w:val="15"/>
    <w:link w:val="3"/>
    <w:qFormat/>
    <w:uiPriority w:val="0"/>
    <w:rPr>
      <w:rFonts w:ascii="宋体" w:hAnsi="Adobe 宋体 Std L"/>
      <w:b/>
      <w:bCs/>
      <w:sz w:val="28"/>
      <w:szCs w:val="28"/>
    </w:rPr>
  </w:style>
  <w:style w:type="character" w:customStyle="1" w:styleId="20">
    <w:name w:val="标题 1 Char"/>
    <w:link w:val="2"/>
    <w:qFormat/>
    <w:uiPriority w:val="0"/>
    <w:rPr>
      <w:rFonts w:eastAsia="方正小标宋简体"/>
      <w:bCs/>
      <w:kern w:val="44"/>
      <w:sz w:val="36"/>
      <w:szCs w:val="44"/>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paragraph" w:customStyle="1" w:styleId="22">
    <w:name w:val="标题一"/>
    <w:basedOn w:val="1"/>
    <w:qFormat/>
    <w:uiPriority w:val="99"/>
    <w:pPr>
      <w:adjustRightInd w:val="0"/>
      <w:snapToGrid w:val="0"/>
      <w:spacing w:line="500" w:lineRule="exact"/>
      <w:ind w:firstLine="396" w:firstLineChars="141"/>
      <w:jc w:val="left"/>
    </w:pPr>
    <w:rPr>
      <w:rFonts w:ascii="仿宋_GB2312" w:hAnsi="黑体" w:eastAsia="仿宋_GB2312"/>
      <w:b/>
      <w:bCs/>
      <w:color w:val="000000"/>
      <w:kern w:val="0"/>
      <w:sz w:val="28"/>
      <w:szCs w:val="30"/>
    </w:rPr>
  </w:style>
  <w:style w:type="character" w:customStyle="1" w:styleId="23">
    <w:name w:val="批注框文本 Char"/>
    <w:basedOn w:val="15"/>
    <w:link w:val="6"/>
    <w:qFormat/>
    <w:uiPriority w:val="0"/>
    <w:rPr>
      <w:kern w:val="2"/>
      <w:sz w:val="18"/>
      <w:szCs w:val="18"/>
    </w:rPr>
  </w:style>
  <w:style w:type="paragraph" w:styleId="2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1842</Words>
  <Characters>10501</Characters>
  <Lines>87</Lines>
  <Paragraphs>24</Paragraphs>
  <TotalTime>8</TotalTime>
  <ScaleCrop>false</ScaleCrop>
  <LinksUpToDate>false</LinksUpToDate>
  <CharactersWithSpaces>12319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2021-11-15T16:44:00Z</dcterms:created>
  <dc:creator>seven</dc:creator>
  <cp:lastModifiedBy>1010</cp:lastModifiedBy>
  <cp:lastPrinted>2021-11-17T18:56:00Z</cp:lastPrinted>
  <dcterms:modified xsi:type="dcterms:W3CDTF">2022-01-23T02:03:44Z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CDCAA008B77C417B8BDC68AD4C65DE6F</vt:lpwstr>
  </property>
</Properties>
</file>