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hAnsi="黑体" w:eastAsia="仿宋_GB2312"/>
          <w:sz w:val="44"/>
          <w:szCs w:val="44"/>
        </w:rPr>
      </w:pPr>
      <w:bookmarkStart w:id="0" w:name="_Toc532047320"/>
      <w:r>
        <w:drawing>
          <wp:inline distT="0" distB="0" distL="0" distR="0">
            <wp:extent cx="5181600" cy="779145"/>
            <wp:effectExtent l="0" t="0" r="0" b="1905"/>
            <wp:docPr id="3" name="图片 1" descr="防城港市理工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防城港市理工logo透明"/>
                    <pic:cNvPicPr>
                      <a:picLocks noChangeAspect="1" noChangeArrowheads="1"/>
                    </pic:cNvPicPr>
                  </pic:nvPicPr>
                  <pic:blipFill>
                    <a:blip r:embed="rId6" cstate="print"/>
                    <a:srcRect/>
                    <a:stretch>
                      <a:fillRect/>
                    </a:stretch>
                  </pic:blipFill>
                  <pic:spPr>
                    <a:xfrm>
                      <a:off x="0" y="0"/>
                      <a:ext cx="5181600" cy="779145"/>
                    </a:xfrm>
                    <a:prstGeom prst="rect">
                      <a:avLst/>
                    </a:prstGeom>
                    <a:noFill/>
                    <a:ln w="9525">
                      <a:noFill/>
                      <a:miter lim="800000"/>
                      <a:headEnd/>
                      <a:tailEnd/>
                    </a:ln>
                  </pic:spPr>
                </pic:pic>
              </a:graphicData>
            </a:graphic>
          </wp:inline>
        </w:drawing>
      </w:r>
    </w:p>
    <w:p>
      <w:pPr>
        <w:jc w:val="center"/>
        <w:rPr>
          <w:rFonts w:ascii="仿宋_GB2312" w:hAnsi="黑体" w:eastAsia="仿宋_GB2312"/>
          <w:sz w:val="30"/>
          <w:szCs w:val="30"/>
        </w:rPr>
      </w:pPr>
    </w:p>
    <w:p>
      <w:pPr>
        <w:jc w:val="center"/>
        <w:rPr>
          <w:rFonts w:ascii="黑体" w:hAnsi="黑体" w:eastAsia="黑体"/>
          <w:szCs w:val="21"/>
        </w:rPr>
      </w:pPr>
    </w:p>
    <w:p>
      <w:pPr>
        <w:jc w:val="center"/>
        <w:rPr>
          <w:rFonts w:ascii="方正小标宋简体" w:hAnsi="黑体" w:eastAsia="方正小标宋简体"/>
          <w:sz w:val="96"/>
          <w:szCs w:val="96"/>
        </w:rPr>
      </w:pPr>
      <w:r>
        <w:rPr>
          <w:rFonts w:hint="eastAsia" w:ascii="方正小标宋简体" w:hAnsi="黑体" w:eastAsia="方正小标宋简体"/>
          <w:sz w:val="96"/>
          <w:szCs w:val="96"/>
        </w:rPr>
        <w:t>人才培养方案</w:t>
      </w:r>
    </w:p>
    <w:p>
      <w:pPr>
        <w:rPr>
          <w:rFonts w:ascii="黑体" w:hAnsi="黑体" w:eastAsia="黑体"/>
          <w:sz w:val="32"/>
          <w:szCs w:val="32"/>
        </w:rPr>
      </w:pPr>
    </w:p>
    <w:p>
      <w:pPr>
        <w:ind w:left="2520" w:firstLine="32"/>
        <w:rPr>
          <w:rFonts w:ascii="黑体" w:hAnsi="黑体" w:eastAsia="黑体"/>
          <w:sz w:val="32"/>
          <w:szCs w:val="32"/>
        </w:rPr>
      </w:pPr>
    </w:p>
    <w:p>
      <w:pPr>
        <w:ind w:left="2520" w:firstLine="32"/>
        <w:rPr>
          <w:rFonts w:ascii="黑体" w:hAnsi="黑体" w:eastAsia="黑体"/>
          <w:sz w:val="32"/>
          <w:szCs w:val="32"/>
        </w:rPr>
      </w:pPr>
      <w:r>
        <w:rPr>
          <w:rFonts w:hint="eastAsia" w:ascii="黑体" w:hAnsi="黑体" w:eastAsia="黑体"/>
          <w:sz w:val="32"/>
          <w:szCs w:val="32"/>
        </w:rPr>
        <w:t>专业名称</w:t>
      </w:r>
      <w:r>
        <w:rPr>
          <w:rFonts w:hint="eastAsia" w:ascii="黑体" w:hAnsi="黑体" w:eastAsia="黑体"/>
          <w:sz w:val="32"/>
          <w:szCs w:val="32"/>
          <w:u w:val="single"/>
        </w:rPr>
        <w:t xml:space="preserve">      幼儿保育    </w:t>
      </w:r>
      <w:r>
        <w:rPr>
          <w:rFonts w:hint="eastAsia" w:ascii="黑体" w:hAnsi="黑体" w:eastAsia="黑体"/>
          <w:b/>
          <w:bCs/>
          <w:sz w:val="32"/>
          <w:szCs w:val="32"/>
          <w:u w:val="single"/>
        </w:rPr>
        <w:t xml:space="preserve"> </w:t>
      </w:r>
    </w:p>
    <w:p>
      <w:pPr>
        <w:ind w:left="2520" w:firstLine="32"/>
        <w:rPr>
          <w:rFonts w:ascii="黑体" w:hAnsi="黑体" w:eastAsia="黑体"/>
          <w:sz w:val="32"/>
          <w:szCs w:val="32"/>
          <w:u w:val="single"/>
        </w:rPr>
      </w:pPr>
      <w:r>
        <w:rPr>
          <w:rFonts w:hint="eastAsia" w:ascii="黑体" w:hAnsi="黑体" w:eastAsia="黑体"/>
          <w:sz w:val="32"/>
          <w:szCs w:val="32"/>
        </w:rPr>
        <w:t xml:space="preserve">专业性质 </w:t>
      </w:r>
      <w:r>
        <w:rPr>
          <w:rFonts w:hint="eastAsia" w:ascii="黑体" w:hAnsi="黑体" w:eastAsia="黑体"/>
          <w:sz w:val="32"/>
          <w:szCs w:val="32"/>
          <w:u w:val="single"/>
        </w:rPr>
        <w:t xml:space="preserve">       中职       </w:t>
      </w:r>
    </w:p>
    <w:p>
      <w:pPr>
        <w:ind w:left="2520" w:firstLine="32"/>
        <w:rPr>
          <w:rFonts w:ascii="黑体" w:hAnsi="黑体" w:eastAsia="黑体"/>
          <w:sz w:val="32"/>
          <w:szCs w:val="32"/>
          <w:u w:val="single"/>
        </w:rPr>
      </w:pPr>
      <w:r>
        <w:rPr>
          <w:rFonts w:hint="eastAsia" w:ascii="黑体" w:hAnsi="黑体" w:eastAsia="黑体"/>
          <w:sz w:val="32"/>
          <w:szCs w:val="32"/>
        </w:rPr>
        <w:t xml:space="preserve">专业类别 </w:t>
      </w:r>
      <w:r>
        <w:rPr>
          <w:rFonts w:hint="eastAsia" w:ascii="黑体" w:hAnsi="黑体" w:eastAsia="黑体"/>
          <w:sz w:val="32"/>
          <w:szCs w:val="32"/>
          <w:u w:val="single"/>
        </w:rPr>
        <w:t xml:space="preserve">      教育类      </w:t>
      </w:r>
    </w:p>
    <w:p>
      <w:pPr>
        <w:ind w:left="2520" w:firstLine="32"/>
        <w:rPr>
          <w:rFonts w:ascii="黑体" w:hAnsi="黑体" w:eastAsia="黑体"/>
          <w:sz w:val="32"/>
          <w:szCs w:val="32"/>
        </w:rPr>
      </w:pPr>
      <w:r>
        <w:rPr>
          <w:rFonts w:hint="eastAsia" w:ascii="黑体" w:hAnsi="黑体" w:eastAsia="黑体"/>
          <w:sz w:val="32"/>
          <w:szCs w:val="32"/>
        </w:rPr>
        <w:t>专业代码</w:t>
      </w:r>
      <w:r>
        <w:rPr>
          <w:rFonts w:hint="eastAsia" w:ascii="黑体" w:hAnsi="黑体" w:eastAsia="黑体"/>
          <w:sz w:val="32"/>
          <w:szCs w:val="32"/>
          <w:u w:val="single"/>
        </w:rPr>
        <w:t xml:space="preserve">       770101      </w:t>
      </w:r>
    </w:p>
    <w:p>
      <w:pPr>
        <w:ind w:left="2520" w:firstLine="32"/>
        <w:rPr>
          <w:rFonts w:ascii="黑体" w:hAnsi="黑体" w:eastAsia="黑体"/>
          <w:sz w:val="32"/>
          <w:szCs w:val="32"/>
          <w:u w:val="single"/>
        </w:rPr>
      </w:pPr>
      <w:r>
        <w:rPr>
          <w:rFonts w:hint="eastAsia" w:ascii="黑体" w:hAnsi="黑体" w:eastAsia="黑体"/>
          <w:sz w:val="32"/>
          <w:szCs w:val="32"/>
        </w:rPr>
        <w:t xml:space="preserve">基本学制 </w:t>
      </w:r>
      <w:r>
        <w:rPr>
          <w:rFonts w:hint="eastAsia" w:ascii="黑体" w:hAnsi="黑体" w:eastAsia="黑体"/>
          <w:sz w:val="32"/>
          <w:szCs w:val="32"/>
          <w:u w:val="single"/>
        </w:rPr>
        <w:t xml:space="preserve">       三年       </w:t>
      </w:r>
    </w:p>
    <w:p>
      <w:pPr>
        <w:ind w:left="2520" w:firstLine="32"/>
        <w:rPr>
          <w:rFonts w:ascii="黑体" w:hAnsi="黑体" w:eastAsia="黑体"/>
          <w:sz w:val="32"/>
          <w:szCs w:val="32"/>
        </w:rPr>
      </w:pPr>
      <w:r>
        <w:rPr>
          <w:rFonts w:hint="eastAsia" w:ascii="黑体" w:hAnsi="黑体" w:eastAsia="黑体"/>
          <w:sz w:val="32"/>
          <w:szCs w:val="32"/>
        </w:rPr>
        <w:t xml:space="preserve">招生对象 </w:t>
      </w:r>
      <w:r>
        <w:rPr>
          <w:rFonts w:hint="eastAsia" w:ascii="黑体" w:hAnsi="黑体" w:eastAsia="黑体"/>
          <w:sz w:val="32"/>
          <w:szCs w:val="32"/>
          <w:u w:val="single"/>
        </w:rPr>
        <w:t xml:space="preserve">    初中毕业生    </w:t>
      </w:r>
    </w:p>
    <w:p>
      <w:pPr>
        <w:jc w:val="center"/>
        <w:rPr>
          <w:rFonts w:ascii="仿宋_GB2312" w:hAnsi="黑体" w:eastAsia="仿宋_GB2312"/>
          <w:sz w:val="32"/>
          <w:szCs w:val="32"/>
        </w:rPr>
      </w:pPr>
    </w:p>
    <w:p>
      <w:pPr>
        <w:jc w:val="center"/>
        <w:rPr>
          <w:rFonts w:ascii="仿宋_GB2312" w:hAnsi="黑体" w:eastAsia="仿宋_GB2312"/>
          <w:sz w:val="32"/>
          <w:szCs w:val="32"/>
        </w:rPr>
      </w:pPr>
    </w:p>
    <w:p>
      <w:pPr>
        <w:jc w:val="center"/>
        <w:rPr>
          <w:rFonts w:ascii="黑体" w:hAnsi="黑体" w:eastAsia="黑体"/>
          <w:sz w:val="32"/>
          <w:szCs w:val="32"/>
        </w:rPr>
      </w:pPr>
      <w:r>
        <w:rPr>
          <w:rFonts w:hint="eastAsia" w:ascii="黑体" w:hAnsi="黑体" w:eastAsia="黑体"/>
          <w:sz w:val="32"/>
          <w:szCs w:val="32"/>
        </w:rPr>
        <w:t>防城港市理工职业学校</w:t>
      </w:r>
    </w:p>
    <w:p>
      <w:pPr>
        <w:jc w:val="center"/>
        <w:rPr>
          <w:rFonts w:ascii="黑体" w:hAnsi="黑体" w:eastAsia="黑体"/>
          <w:sz w:val="32"/>
          <w:szCs w:val="32"/>
        </w:rPr>
      </w:pPr>
      <w:r>
        <w:rPr>
          <w:rFonts w:hint="eastAsia" w:ascii="黑体" w:hAnsi="黑体" w:eastAsia="黑体"/>
          <w:sz w:val="32"/>
          <w:szCs w:val="32"/>
        </w:rPr>
        <w:t>二○二二年一月</w:t>
      </w:r>
    </w:p>
    <w:p>
      <w:pPr>
        <w:spacing w:line="520" w:lineRule="exact"/>
        <w:jc w:val="center"/>
        <w:rPr>
          <w:b/>
          <w:bCs/>
          <w:sz w:val="32"/>
          <w:szCs w:val="32"/>
        </w:rPr>
      </w:pPr>
    </w:p>
    <w:p>
      <w:pPr>
        <w:spacing w:line="520" w:lineRule="exact"/>
        <w:jc w:val="center"/>
        <w:rPr>
          <w:b/>
          <w:bCs/>
          <w:sz w:val="44"/>
          <w:szCs w:val="44"/>
        </w:rPr>
      </w:pPr>
    </w:p>
    <w:p>
      <w:pPr>
        <w:spacing w:line="520" w:lineRule="exact"/>
        <w:rPr>
          <w:b/>
          <w:bCs/>
          <w:sz w:val="44"/>
          <w:szCs w:val="44"/>
        </w:rPr>
      </w:pPr>
    </w:p>
    <w:p>
      <w:pPr>
        <w:spacing w:line="480" w:lineRule="exact"/>
        <w:ind w:firstLine="562" w:firstLineChars="200"/>
        <w:jc w:val="left"/>
        <w:textAlignment w:val="baseline"/>
        <w:rPr>
          <w:rFonts w:ascii="宋体" w:hAnsi="宋体"/>
          <w:sz w:val="28"/>
          <w:szCs w:val="28"/>
        </w:rPr>
      </w:pPr>
      <w:r>
        <w:rPr>
          <w:rFonts w:ascii="宋体" w:hAnsi="宋体"/>
          <w:b/>
          <w:sz w:val="28"/>
          <w:szCs w:val="28"/>
        </w:rPr>
        <w:br w:type="page"/>
      </w:r>
    </w:p>
    <w:bookmarkEnd w:id="0"/>
    <w:sdt>
      <w:sdtPr>
        <w:rPr>
          <w:rFonts w:ascii="Times New Roman" w:hAnsi="Times New Roman" w:eastAsia="宋体" w:cs="Times New Roman"/>
          <w:color w:val="auto"/>
          <w:kern w:val="2"/>
          <w:sz w:val="21"/>
          <w:szCs w:val="24"/>
          <w:lang w:val="zh-CN"/>
        </w:rPr>
        <w:id w:val="-2060545293"/>
        <w:docPartObj>
          <w:docPartGallery w:val="Table of Contents"/>
          <w:docPartUnique/>
        </w:docPartObj>
      </w:sdtPr>
      <w:sdtEndPr>
        <w:rPr>
          <w:rFonts w:ascii="黑体" w:hAnsi="黑体" w:eastAsia="黑体" w:cs="Times New Roman"/>
          <w:b/>
          <w:bCs/>
          <w:color w:val="auto"/>
          <w:kern w:val="2"/>
          <w:sz w:val="32"/>
          <w:szCs w:val="32"/>
          <w:lang w:val="zh-CN"/>
        </w:rPr>
      </w:sdtEndPr>
      <w:sdtContent>
        <w:p>
          <w:pPr>
            <w:pStyle w:val="21"/>
            <w:jc w:val="center"/>
            <w:rPr>
              <w:rFonts w:ascii="方正小标宋简体" w:eastAsia="方正小标宋简体"/>
              <w:color w:val="000000" w:themeColor="text1"/>
              <w:sz w:val="44"/>
              <w:szCs w:val="44"/>
            </w:rPr>
          </w:pPr>
          <w:r>
            <w:rPr>
              <w:rFonts w:hint="eastAsia" w:ascii="方正小标宋简体" w:eastAsia="方正小标宋简体"/>
              <w:color w:val="000000" w:themeColor="text1"/>
              <w:sz w:val="44"/>
              <w:szCs w:val="44"/>
              <w:lang w:val="zh-CN"/>
            </w:rPr>
            <w:t>目  录</w:t>
          </w:r>
        </w:p>
        <w:p>
          <w:pPr>
            <w:pStyle w:val="9"/>
            <w:tabs>
              <w:tab w:val="right" w:leader="dot" w:pos="8844"/>
            </w:tabs>
            <w:rPr>
              <w:rFonts w:ascii="黑体" w:hAnsi="黑体" w:eastAsia="黑体" w:cs="仿宋_GB2312"/>
              <w:bCs/>
              <w:sz w:val="32"/>
              <w:szCs w:val="32"/>
            </w:rPr>
          </w:pPr>
          <w:r>
            <w:rPr>
              <w:rFonts w:hint="eastAsia" w:ascii="黑体" w:hAnsi="黑体" w:eastAsia="黑体"/>
              <w:sz w:val="32"/>
              <w:szCs w:val="32"/>
            </w:rPr>
            <w:fldChar w:fldCharType="begin"/>
          </w:r>
          <w:r>
            <w:rPr>
              <w:rFonts w:hint="eastAsia" w:ascii="黑体" w:hAnsi="黑体" w:eastAsia="黑体"/>
              <w:sz w:val="32"/>
              <w:szCs w:val="32"/>
            </w:rPr>
            <w:instrText xml:space="preserve"> TOC \o "1-3" \h \z \u </w:instrText>
          </w:r>
          <w:r>
            <w:rPr>
              <w:rFonts w:hint="eastAsia" w:ascii="黑体" w:hAnsi="黑体" w:eastAsia="黑体"/>
              <w:sz w:val="32"/>
              <w:szCs w:val="32"/>
            </w:rPr>
            <w:fldChar w:fldCharType="separate"/>
          </w:r>
          <w:r>
            <w:fldChar w:fldCharType="begin"/>
          </w:r>
          <w:r>
            <w:instrText xml:space="preserve"> HYPERLINK \l "_Toc10168" </w:instrText>
          </w:r>
          <w:r>
            <w:fldChar w:fldCharType="separate"/>
          </w:r>
          <w:r>
            <w:rPr>
              <w:rFonts w:hint="eastAsia" w:ascii="黑体" w:hAnsi="黑体" w:eastAsia="黑体" w:cs="仿宋_GB2312"/>
              <w:bCs/>
              <w:sz w:val="32"/>
              <w:szCs w:val="32"/>
            </w:rPr>
            <w:t>一、专业名称及代码</w:t>
          </w:r>
          <w:r>
            <w:rPr>
              <w:rFonts w:hint="eastAsia" w:ascii="黑体" w:hAnsi="黑体" w:eastAsia="黑体" w:cs="仿宋_GB2312"/>
              <w:bCs/>
              <w:sz w:val="32"/>
              <w:szCs w:val="32"/>
            </w:rPr>
            <w:tab/>
          </w:r>
          <w:r>
            <w:rPr>
              <w:rFonts w:hint="eastAsia" w:ascii="黑体" w:hAnsi="黑体" w:eastAsia="黑体" w:cs="仿宋_GB2312"/>
              <w:bCs/>
              <w:sz w:val="32"/>
              <w:szCs w:val="32"/>
            </w:rPr>
            <w:fldChar w:fldCharType="begin"/>
          </w:r>
          <w:r>
            <w:rPr>
              <w:rFonts w:hint="eastAsia" w:ascii="黑体" w:hAnsi="黑体" w:eastAsia="黑体" w:cs="仿宋_GB2312"/>
              <w:bCs/>
              <w:sz w:val="32"/>
              <w:szCs w:val="32"/>
            </w:rPr>
            <w:instrText xml:space="preserve"> PAGEREF _Toc10168 \h </w:instrText>
          </w:r>
          <w:r>
            <w:rPr>
              <w:rFonts w:hint="eastAsia" w:ascii="黑体" w:hAnsi="黑体" w:eastAsia="黑体" w:cs="仿宋_GB2312"/>
              <w:bCs/>
              <w:sz w:val="32"/>
              <w:szCs w:val="32"/>
            </w:rPr>
            <w:fldChar w:fldCharType="separate"/>
          </w:r>
          <w:r>
            <w:rPr>
              <w:rFonts w:ascii="黑体" w:hAnsi="黑体" w:eastAsia="黑体" w:cs="仿宋_GB2312"/>
              <w:bCs/>
              <w:sz w:val="32"/>
              <w:szCs w:val="32"/>
            </w:rPr>
            <w:t>1</w:t>
          </w:r>
          <w:r>
            <w:rPr>
              <w:rFonts w:hint="eastAsia" w:ascii="黑体" w:hAnsi="黑体" w:eastAsia="黑体" w:cs="仿宋_GB2312"/>
              <w:bCs/>
              <w:sz w:val="32"/>
              <w:szCs w:val="32"/>
            </w:rPr>
            <w:fldChar w:fldCharType="end"/>
          </w:r>
          <w:r>
            <w:rPr>
              <w:rFonts w:hint="eastAsia" w:ascii="黑体" w:hAnsi="黑体" w:eastAsia="黑体" w:cs="仿宋_GB2312"/>
              <w:bCs/>
              <w:sz w:val="32"/>
              <w:szCs w:val="32"/>
            </w:rPr>
            <w:fldChar w:fldCharType="end"/>
          </w:r>
        </w:p>
        <w:p>
          <w:pPr>
            <w:pStyle w:val="9"/>
            <w:tabs>
              <w:tab w:val="right" w:leader="dot" w:pos="8844"/>
            </w:tabs>
            <w:rPr>
              <w:rFonts w:ascii="黑体" w:hAnsi="黑体" w:eastAsia="黑体" w:cs="仿宋_GB2312"/>
              <w:bCs/>
              <w:sz w:val="32"/>
              <w:szCs w:val="32"/>
            </w:rPr>
          </w:pPr>
          <w:r>
            <w:fldChar w:fldCharType="begin"/>
          </w:r>
          <w:r>
            <w:instrText xml:space="preserve"> HYPERLINK \l "_Toc19800" </w:instrText>
          </w:r>
          <w:r>
            <w:fldChar w:fldCharType="separate"/>
          </w:r>
          <w:r>
            <w:rPr>
              <w:rFonts w:hint="eastAsia" w:ascii="黑体" w:hAnsi="黑体" w:eastAsia="黑体" w:cs="仿宋_GB2312"/>
              <w:bCs/>
              <w:sz w:val="32"/>
              <w:szCs w:val="32"/>
            </w:rPr>
            <w:t>二、入学要求</w:t>
          </w:r>
          <w:r>
            <w:rPr>
              <w:rFonts w:hint="eastAsia" w:ascii="黑体" w:hAnsi="黑体" w:eastAsia="黑体" w:cs="仿宋_GB2312"/>
              <w:bCs/>
              <w:sz w:val="32"/>
              <w:szCs w:val="32"/>
            </w:rPr>
            <w:tab/>
          </w:r>
          <w:r>
            <w:rPr>
              <w:rFonts w:hint="eastAsia" w:ascii="黑体" w:hAnsi="黑体" w:eastAsia="黑体" w:cs="仿宋_GB2312"/>
              <w:bCs/>
              <w:sz w:val="32"/>
              <w:szCs w:val="32"/>
            </w:rPr>
            <w:fldChar w:fldCharType="begin"/>
          </w:r>
          <w:r>
            <w:rPr>
              <w:rFonts w:hint="eastAsia" w:ascii="黑体" w:hAnsi="黑体" w:eastAsia="黑体" w:cs="仿宋_GB2312"/>
              <w:bCs/>
              <w:sz w:val="32"/>
              <w:szCs w:val="32"/>
            </w:rPr>
            <w:instrText xml:space="preserve"> PAGEREF _Toc19800 \h </w:instrText>
          </w:r>
          <w:r>
            <w:rPr>
              <w:rFonts w:hint="eastAsia" w:ascii="黑体" w:hAnsi="黑体" w:eastAsia="黑体" w:cs="仿宋_GB2312"/>
              <w:bCs/>
              <w:sz w:val="32"/>
              <w:szCs w:val="32"/>
            </w:rPr>
            <w:fldChar w:fldCharType="separate"/>
          </w:r>
          <w:r>
            <w:rPr>
              <w:rFonts w:ascii="黑体" w:hAnsi="黑体" w:eastAsia="黑体" w:cs="仿宋_GB2312"/>
              <w:bCs/>
              <w:sz w:val="32"/>
              <w:szCs w:val="32"/>
            </w:rPr>
            <w:t>1</w:t>
          </w:r>
          <w:r>
            <w:rPr>
              <w:rFonts w:hint="eastAsia" w:ascii="黑体" w:hAnsi="黑体" w:eastAsia="黑体" w:cs="仿宋_GB2312"/>
              <w:bCs/>
              <w:sz w:val="32"/>
              <w:szCs w:val="32"/>
            </w:rPr>
            <w:fldChar w:fldCharType="end"/>
          </w:r>
          <w:r>
            <w:rPr>
              <w:rFonts w:hint="eastAsia" w:ascii="黑体" w:hAnsi="黑体" w:eastAsia="黑体" w:cs="仿宋_GB2312"/>
              <w:bCs/>
              <w:sz w:val="32"/>
              <w:szCs w:val="32"/>
            </w:rPr>
            <w:fldChar w:fldCharType="end"/>
          </w:r>
        </w:p>
        <w:p>
          <w:pPr>
            <w:pStyle w:val="9"/>
            <w:tabs>
              <w:tab w:val="right" w:leader="dot" w:pos="8844"/>
            </w:tabs>
            <w:rPr>
              <w:rFonts w:ascii="黑体" w:hAnsi="黑体" w:eastAsia="黑体" w:cs="仿宋_GB2312"/>
              <w:bCs/>
              <w:sz w:val="32"/>
              <w:szCs w:val="32"/>
            </w:rPr>
          </w:pPr>
          <w:r>
            <w:fldChar w:fldCharType="begin"/>
          </w:r>
          <w:r>
            <w:instrText xml:space="preserve"> HYPERLINK \l "_Toc816" </w:instrText>
          </w:r>
          <w:r>
            <w:fldChar w:fldCharType="separate"/>
          </w:r>
          <w:r>
            <w:rPr>
              <w:rFonts w:hint="eastAsia" w:ascii="黑体" w:hAnsi="黑体" w:eastAsia="黑体" w:cs="仿宋_GB2312"/>
              <w:bCs/>
              <w:sz w:val="32"/>
              <w:szCs w:val="32"/>
            </w:rPr>
            <w:t>三、学习年限</w:t>
          </w:r>
          <w:r>
            <w:rPr>
              <w:rFonts w:hint="eastAsia" w:ascii="黑体" w:hAnsi="黑体" w:eastAsia="黑体" w:cs="仿宋_GB2312"/>
              <w:bCs/>
              <w:sz w:val="32"/>
              <w:szCs w:val="32"/>
            </w:rPr>
            <w:tab/>
          </w:r>
          <w:r>
            <w:rPr>
              <w:rFonts w:hint="eastAsia" w:ascii="黑体" w:hAnsi="黑体" w:eastAsia="黑体" w:cs="仿宋_GB2312"/>
              <w:bCs/>
              <w:sz w:val="32"/>
              <w:szCs w:val="32"/>
            </w:rPr>
            <w:fldChar w:fldCharType="begin"/>
          </w:r>
          <w:r>
            <w:rPr>
              <w:rFonts w:hint="eastAsia" w:ascii="黑体" w:hAnsi="黑体" w:eastAsia="黑体" w:cs="仿宋_GB2312"/>
              <w:bCs/>
              <w:sz w:val="32"/>
              <w:szCs w:val="32"/>
            </w:rPr>
            <w:instrText xml:space="preserve"> PAGEREF _Toc816 \h </w:instrText>
          </w:r>
          <w:r>
            <w:rPr>
              <w:rFonts w:hint="eastAsia" w:ascii="黑体" w:hAnsi="黑体" w:eastAsia="黑体" w:cs="仿宋_GB2312"/>
              <w:bCs/>
              <w:sz w:val="32"/>
              <w:szCs w:val="32"/>
            </w:rPr>
            <w:fldChar w:fldCharType="separate"/>
          </w:r>
          <w:r>
            <w:rPr>
              <w:rFonts w:ascii="黑体" w:hAnsi="黑体" w:eastAsia="黑体" w:cs="仿宋_GB2312"/>
              <w:bCs/>
              <w:sz w:val="32"/>
              <w:szCs w:val="32"/>
            </w:rPr>
            <w:t>1</w:t>
          </w:r>
          <w:r>
            <w:rPr>
              <w:rFonts w:hint="eastAsia" w:ascii="黑体" w:hAnsi="黑体" w:eastAsia="黑体" w:cs="仿宋_GB2312"/>
              <w:bCs/>
              <w:sz w:val="32"/>
              <w:szCs w:val="32"/>
            </w:rPr>
            <w:fldChar w:fldCharType="end"/>
          </w:r>
          <w:r>
            <w:rPr>
              <w:rFonts w:hint="eastAsia" w:ascii="黑体" w:hAnsi="黑体" w:eastAsia="黑体" w:cs="仿宋_GB2312"/>
              <w:bCs/>
              <w:sz w:val="32"/>
              <w:szCs w:val="32"/>
            </w:rPr>
            <w:fldChar w:fldCharType="end"/>
          </w:r>
        </w:p>
        <w:p>
          <w:pPr>
            <w:pStyle w:val="9"/>
            <w:tabs>
              <w:tab w:val="right" w:leader="dot" w:pos="8844"/>
            </w:tabs>
            <w:rPr>
              <w:rFonts w:ascii="黑体" w:hAnsi="黑体" w:eastAsia="黑体" w:cs="仿宋_GB2312"/>
              <w:bCs/>
              <w:sz w:val="32"/>
              <w:szCs w:val="32"/>
            </w:rPr>
          </w:pPr>
          <w:r>
            <w:fldChar w:fldCharType="begin"/>
          </w:r>
          <w:r>
            <w:instrText xml:space="preserve"> HYPERLINK \l "_Toc12523" </w:instrText>
          </w:r>
          <w:r>
            <w:fldChar w:fldCharType="separate"/>
          </w:r>
          <w:r>
            <w:rPr>
              <w:rFonts w:hint="eastAsia" w:ascii="黑体" w:hAnsi="黑体" w:eastAsia="黑体" w:cs="仿宋_GB2312"/>
              <w:bCs/>
              <w:sz w:val="32"/>
              <w:szCs w:val="32"/>
            </w:rPr>
            <w:t>四、 职业面向</w:t>
          </w:r>
          <w:r>
            <w:rPr>
              <w:rFonts w:hint="eastAsia" w:ascii="黑体" w:hAnsi="黑体" w:eastAsia="黑体" w:cs="仿宋_GB2312"/>
              <w:bCs/>
              <w:sz w:val="32"/>
              <w:szCs w:val="32"/>
            </w:rPr>
            <w:tab/>
          </w:r>
          <w:r>
            <w:rPr>
              <w:rFonts w:hint="eastAsia" w:ascii="黑体" w:hAnsi="黑体" w:eastAsia="黑体" w:cs="仿宋_GB2312"/>
              <w:bCs/>
              <w:sz w:val="32"/>
              <w:szCs w:val="32"/>
            </w:rPr>
            <w:fldChar w:fldCharType="begin"/>
          </w:r>
          <w:r>
            <w:rPr>
              <w:rFonts w:hint="eastAsia" w:ascii="黑体" w:hAnsi="黑体" w:eastAsia="黑体" w:cs="仿宋_GB2312"/>
              <w:bCs/>
              <w:sz w:val="32"/>
              <w:szCs w:val="32"/>
            </w:rPr>
            <w:instrText xml:space="preserve"> PAGEREF _Toc12523 \h </w:instrText>
          </w:r>
          <w:r>
            <w:rPr>
              <w:rFonts w:hint="eastAsia" w:ascii="黑体" w:hAnsi="黑体" w:eastAsia="黑体" w:cs="仿宋_GB2312"/>
              <w:bCs/>
              <w:sz w:val="32"/>
              <w:szCs w:val="32"/>
            </w:rPr>
            <w:fldChar w:fldCharType="separate"/>
          </w:r>
          <w:r>
            <w:rPr>
              <w:rFonts w:ascii="黑体" w:hAnsi="黑体" w:eastAsia="黑体" w:cs="仿宋_GB2312"/>
              <w:bCs/>
              <w:sz w:val="32"/>
              <w:szCs w:val="32"/>
            </w:rPr>
            <w:t>1</w:t>
          </w:r>
          <w:r>
            <w:rPr>
              <w:rFonts w:hint="eastAsia" w:ascii="黑体" w:hAnsi="黑体" w:eastAsia="黑体" w:cs="仿宋_GB2312"/>
              <w:bCs/>
              <w:sz w:val="32"/>
              <w:szCs w:val="32"/>
            </w:rPr>
            <w:fldChar w:fldCharType="end"/>
          </w:r>
          <w:r>
            <w:rPr>
              <w:rFonts w:hint="eastAsia" w:ascii="黑体" w:hAnsi="黑体" w:eastAsia="黑体" w:cs="仿宋_GB2312"/>
              <w:bCs/>
              <w:sz w:val="32"/>
              <w:szCs w:val="32"/>
            </w:rPr>
            <w:fldChar w:fldCharType="end"/>
          </w:r>
        </w:p>
        <w:p>
          <w:pPr>
            <w:pStyle w:val="9"/>
            <w:tabs>
              <w:tab w:val="right" w:leader="dot" w:pos="8844"/>
            </w:tabs>
            <w:rPr>
              <w:rFonts w:ascii="黑体" w:hAnsi="黑体" w:eastAsia="黑体" w:cs="仿宋_GB2312"/>
              <w:bCs/>
              <w:sz w:val="32"/>
              <w:szCs w:val="32"/>
            </w:rPr>
          </w:pPr>
          <w:r>
            <w:fldChar w:fldCharType="begin"/>
          </w:r>
          <w:r>
            <w:instrText xml:space="preserve"> HYPERLINK \l "_Toc12198" </w:instrText>
          </w:r>
          <w:r>
            <w:fldChar w:fldCharType="separate"/>
          </w:r>
          <w:r>
            <w:rPr>
              <w:rFonts w:hint="eastAsia" w:ascii="黑体" w:hAnsi="黑体" w:eastAsia="黑体" w:cs="仿宋_GB2312"/>
              <w:bCs/>
              <w:sz w:val="32"/>
              <w:szCs w:val="32"/>
            </w:rPr>
            <w:t>五、培养目标和培养规格</w:t>
          </w:r>
          <w:r>
            <w:rPr>
              <w:rFonts w:hint="eastAsia" w:ascii="黑体" w:hAnsi="黑体" w:eastAsia="黑体" w:cs="仿宋_GB2312"/>
              <w:bCs/>
              <w:sz w:val="32"/>
              <w:szCs w:val="32"/>
            </w:rPr>
            <w:tab/>
          </w:r>
          <w:r>
            <w:rPr>
              <w:rFonts w:hint="eastAsia" w:ascii="黑体" w:hAnsi="黑体" w:eastAsia="黑体" w:cs="仿宋_GB2312"/>
              <w:bCs/>
              <w:sz w:val="32"/>
              <w:szCs w:val="32"/>
            </w:rPr>
            <w:fldChar w:fldCharType="begin"/>
          </w:r>
          <w:r>
            <w:rPr>
              <w:rFonts w:hint="eastAsia" w:ascii="黑体" w:hAnsi="黑体" w:eastAsia="黑体" w:cs="仿宋_GB2312"/>
              <w:bCs/>
              <w:sz w:val="32"/>
              <w:szCs w:val="32"/>
            </w:rPr>
            <w:instrText xml:space="preserve"> PAGEREF _Toc12198 \h </w:instrText>
          </w:r>
          <w:r>
            <w:rPr>
              <w:rFonts w:hint="eastAsia" w:ascii="黑体" w:hAnsi="黑体" w:eastAsia="黑体" w:cs="仿宋_GB2312"/>
              <w:bCs/>
              <w:sz w:val="32"/>
              <w:szCs w:val="32"/>
            </w:rPr>
            <w:fldChar w:fldCharType="separate"/>
          </w:r>
          <w:r>
            <w:rPr>
              <w:rFonts w:ascii="黑体" w:hAnsi="黑体" w:eastAsia="黑体" w:cs="仿宋_GB2312"/>
              <w:bCs/>
              <w:sz w:val="32"/>
              <w:szCs w:val="32"/>
            </w:rPr>
            <w:t>1</w:t>
          </w:r>
          <w:r>
            <w:rPr>
              <w:rFonts w:hint="eastAsia" w:ascii="黑体" w:hAnsi="黑体" w:eastAsia="黑体" w:cs="仿宋_GB2312"/>
              <w:bCs/>
              <w:sz w:val="32"/>
              <w:szCs w:val="32"/>
            </w:rPr>
            <w:fldChar w:fldCharType="end"/>
          </w:r>
          <w:r>
            <w:rPr>
              <w:rFonts w:hint="eastAsia" w:ascii="黑体" w:hAnsi="黑体" w:eastAsia="黑体" w:cs="仿宋_GB2312"/>
              <w:bCs/>
              <w:sz w:val="32"/>
              <w:szCs w:val="32"/>
            </w:rPr>
            <w:fldChar w:fldCharType="end"/>
          </w:r>
        </w:p>
        <w:p>
          <w:pPr>
            <w:pStyle w:val="9"/>
            <w:tabs>
              <w:tab w:val="right" w:leader="dot" w:pos="8844"/>
            </w:tabs>
            <w:rPr>
              <w:rFonts w:ascii="黑体" w:hAnsi="黑体" w:eastAsia="黑体" w:cs="仿宋_GB2312"/>
              <w:bCs/>
              <w:sz w:val="32"/>
              <w:szCs w:val="32"/>
            </w:rPr>
          </w:pPr>
          <w:r>
            <w:fldChar w:fldCharType="begin"/>
          </w:r>
          <w:r>
            <w:instrText xml:space="preserve"> HYPERLINK \l "_Toc31396" </w:instrText>
          </w:r>
          <w:r>
            <w:fldChar w:fldCharType="separate"/>
          </w:r>
          <w:r>
            <w:rPr>
              <w:rFonts w:hint="eastAsia" w:ascii="黑体" w:hAnsi="黑体" w:eastAsia="黑体" w:cs="仿宋_GB2312"/>
              <w:bCs/>
              <w:sz w:val="32"/>
              <w:szCs w:val="32"/>
            </w:rPr>
            <w:t>六、主要接续专业</w:t>
          </w:r>
          <w:r>
            <w:rPr>
              <w:rFonts w:hint="eastAsia" w:ascii="黑体" w:hAnsi="黑体" w:eastAsia="黑体" w:cs="仿宋_GB2312"/>
              <w:bCs/>
              <w:sz w:val="32"/>
              <w:szCs w:val="32"/>
            </w:rPr>
            <w:tab/>
          </w:r>
          <w:r>
            <w:rPr>
              <w:rFonts w:hint="eastAsia" w:ascii="黑体" w:hAnsi="黑体" w:eastAsia="黑体" w:cs="仿宋_GB2312"/>
              <w:bCs/>
              <w:sz w:val="32"/>
              <w:szCs w:val="32"/>
            </w:rPr>
            <w:fldChar w:fldCharType="begin"/>
          </w:r>
          <w:r>
            <w:rPr>
              <w:rFonts w:hint="eastAsia" w:ascii="黑体" w:hAnsi="黑体" w:eastAsia="黑体" w:cs="仿宋_GB2312"/>
              <w:bCs/>
              <w:sz w:val="32"/>
              <w:szCs w:val="32"/>
            </w:rPr>
            <w:instrText xml:space="preserve"> PAGEREF _Toc31396 \h </w:instrText>
          </w:r>
          <w:r>
            <w:rPr>
              <w:rFonts w:hint="eastAsia" w:ascii="黑体" w:hAnsi="黑体" w:eastAsia="黑体" w:cs="仿宋_GB2312"/>
              <w:bCs/>
              <w:sz w:val="32"/>
              <w:szCs w:val="32"/>
            </w:rPr>
            <w:fldChar w:fldCharType="separate"/>
          </w:r>
          <w:r>
            <w:rPr>
              <w:rFonts w:ascii="黑体" w:hAnsi="黑体" w:eastAsia="黑体" w:cs="仿宋_GB2312"/>
              <w:bCs/>
              <w:sz w:val="32"/>
              <w:szCs w:val="32"/>
            </w:rPr>
            <w:t>4</w:t>
          </w:r>
          <w:r>
            <w:rPr>
              <w:rFonts w:hint="eastAsia" w:ascii="黑体" w:hAnsi="黑体" w:eastAsia="黑体" w:cs="仿宋_GB2312"/>
              <w:bCs/>
              <w:sz w:val="32"/>
              <w:szCs w:val="32"/>
            </w:rPr>
            <w:fldChar w:fldCharType="end"/>
          </w:r>
          <w:r>
            <w:rPr>
              <w:rFonts w:hint="eastAsia" w:ascii="黑体" w:hAnsi="黑体" w:eastAsia="黑体" w:cs="仿宋_GB2312"/>
              <w:bCs/>
              <w:sz w:val="32"/>
              <w:szCs w:val="32"/>
            </w:rPr>
            <w:fldChar w:fldCharType="end"/>
          </w:r>
        </w:p>
        <w:p>
          <w:pPr>
            <w:pStyle w:val="9"/>
            <w:tabs>
              <w:tab w:val="right" w:leader="dot" w:pos="8844"/>
            </w:tabs>
            <w:rPr>
              <w:rFonts w:ascii="黑体" w:hAnsi="黑体" w:eastAsia="黑体" w:cs="仿宋_GB2312"/>
              <w:bCs/>
              <w:sz w:val="32"/>
              <w:szCs w:val="32"/>
            </w:rPr>
          </w:pPr>
          <w:r>
            <w:fldChar w:fldCharType="begin"/>
          </w:r>
          <w:r>
            <w:instrText xml:space="preserve"> HYPERLINK \l "_Toc26445" </w:instrText>
          </w:r>
          <w:r>
            <w:fldChar w:fldCharType="separate"/>
          </w:r>
          <w:r>
            <w:rPr>
              <w:rFonts w:hint="eastAsia" w:ascii="黑体" w:hAnsi="黑体" w:eastAsia="黑体" w:cs="仿宋_GB2312"/>
              <w:bCs/>
              <w:sz w:val="32"/>
              <w:szCs w:val="32"/>
            </w:rPr>
            <w:t>七、课程设置及要求</w:t>
          </w:r>
          <w:r>
            <w:rPr>
              <w:rFonts w:hint="eastAsia" w:ascii="黑体" w:hAnsi="黑体" w:eastAsia="黑体" w:cs="仿宋_GB2312"/>
              <w:bCs/>
              <w:sz w:val="32"/>
              <w:szCs w:val="32"/>
            </w:rPr>
            <w:tab/>
          </w:r>
          <w:r>
            <w:rPr>
              <w:rFonts w:hint="eastAsia" w:ascii="黑体" w:hAnsi="黑体" w:eastAsia="黑体" w:cs="仿宋_GB2312"/>
              <w:bCs/>
              <w:sz w:val="32"/>
              <w:szCs w:val="32"/>
            </w:rPr>
            <w:fldChar w:fldCharType="begin"/>
          </w:r>
          <w:r>
            <w:rPr>
              <w:rFonts w:hint="eastAsia" w:ascii="黑体" w:hAnsi="黑体" w:eastAsia="黑体" w:cs="仿宋_GB2312"/>
              <w:bCs/>
              <w:sz w:val="32"/>
              <w:szCs w:val="32"/>
            </w:rPr>
            <w:instrText xml:space="preserve"> PAGEREF _Toc26445 \h </w:instrText>
          </w:r>
          <w:r>
            <w:rPr>
              <w:rFonts w:hint="eastAsia" w:ascii="黑体" w:hAnsi="黑体" w:eastAsia="黑体" w:cs="仿宋_GB2312"/>
              <w:bCs/>
              <w:sz w:val="32"/>
              <w:szCs w:val="32"/>
            </w:rPr>
            <w:fldChar w:fldCharType="separate"/>
          </w:r>
          <w:r>
            <w:rPr>
              <w:rFonts w:ascii="黑体" w:hAnsi="黑体" w:eastAsia="黑体" w:cs="仿宋_GB2312"/>
              <w:bCs/>
              <w:sz w:val="32"/>
              <w:szCs w:val="32"/>
            </w:rPr>
            <w:t>4</w:t>
          </w:r>
          <w:r>
            <w:rPr>
              <w:rFonts w:hint="eastAsia" w:ascii="黑体" w:hAnsi="黑体" w:eastAsia="黑体" w:cs="仿宋_GB2312"/>
              <w:bCs/>
              <w:sz w:val="32"/>
              <w:szCs w:val="32"/>
            </w:rPr>
            <w:fldChar w:fldCharType="end"/>
          </w:r>
          <w:r>
            <w:rPr>
              <w:rFonts w:hint="eastAsia" w:ascii="黑体" w:hAnsi="黑体" w:eastAsia="黑体" w:cs="仿宋_GB2312"/>
              <w:bCs/>
              <w:sz w:val="32"/>
              <w:szCs w:val="32"/>
            </w:rPr>
            <w:fldChar w:fldCharType="end"/>
          </w:r>
        </w:p>
        <w:p>
          <w:pPr>
            <w:pStyle w:val="9"/>
            <w:tabs>
              <w:tab w:val="right" w:leader="dot" w:pos="8844"/>
            </w:tabs>
            <w:rPr>
              <w:rFonts w:ascii="黑体" w:hAnsi="黑体" w:eastAsia="黑体" w:cs="仿宋_GB2312"/>
              <w:bCs/>
              <w:sz w:val="32"/>
              <w:szCs w:val="32"/>
            </w:rPr>
          </w:pPr>
          <w:r>
            <w:fldChar w:fldCharType="begin"/>
          </w:r>
          <w:r>
            <w:instrText xml:space="preserve"> HYPERLINK \l "_Toc3801" </w:instrText>
          </w:r>
          <w:r>
            <w:fldChar w:fldCharType="separate"/>
          </w:r>
          <w:r>
            <w:rPr>
              <w:rFonts w:hint="eastAsia" w:ascii="黑体" w:hAnsi="黑体" w:eastAsia="黑体" w:cs="仿宋_GB2312"/>
              <w:bCs/>
              <w:sz w:val="32"/>
              <w:szCs w:val="32"/>
            </w:rPr>
            <w:t>八、教学进程总体安排</w:t>
          </w:r>
          <w:r>
            <w:rPr>
              <w:rFonts w:hint="eastAsia" w:ascii="黑体" w:hAnsi="黑体" w:eastAsia="黑体" w:cs="仿宋_GB2312"/>
              <w:bCs/>
              <w:sz w:val="32"/>
              <w:szCs w:val="32"/>
            </w:rPr>
            <w:tab/>
          </w:r>
          <w:r>
            <w:rPr>
              <w:rFonts w:hint="eastAsia" w:ascii="黑体" w:hAnsi="黑体" w:eastAsia="黑体" w:cs="仿宋_GB2312"/>
              <w:bCs/>
              <w:sz w:val="32"/>
              <w:szCs w:val="32"/>
            </w:rPr>
            <w:fldChar w:fldCharType="begin"/>
          </w:r>
          <w:r>
            <w:rPr>
              <w:rFonts w:hint="eastAsia" w:ascii="黑体" w:hAnsi="黑体" w:eastAsia="黑体" w:cs="仿宋_GB2312"/>
              <w:bCs/>
              <w:sz w:val="32"/>
              <w:szCs w:val="32"/>
            </w:rPr>
            <w:instrText xml:space="preserve"> PAGEREF _Toc3801 \h </w:instrText>
          </w:r>
          <w:r>
            <w:rPr>
              <w:rFonts w:hint="eastAsia" w:ascii="黑体" w:hAnsi="黑体" w:eastAsia="黑体" w:cs="仿宋_GB2312"/>
              <w:bCs/>
              <w:sz w:val="32"/>
              <w:szCs w:val="32"/>
            </w:rPr>
            <w:fldChar w:fldCharType="separate"/>
          </w:r>
          <w:r>
            <w:rPr>
              <w:rFonts w:ascii="黑体" w:hAnsi="黑体" w:eastAsia="黑体" w:cs="仿宋_GB2312"/>
              <w:bCs/>
              <w:sz w:val="32"/>
              <w:szCs w:val="32"/>
            </w:rPr>
            <w:t>11</w:t>
          </w:r>
          <w:r>
            <w:rPr>
              <w:rFonts w:hint="eastAsia" w:ascii="黑体" w:hAnsi="黑体" w:eastAsia="黑体" w:cs="仿宋_GB2312"/>
              <w:bCs/>
              <w:sz w:val="32"/>
              <w:szCs w:val="32"/>
            </w:rPr>
            <w:fldChar w:fldCharType="end"/>
          </w:r>
          <w:r>
            <w:rPr>
              <w:rFonts w:hint="eastAsia" w:ascii="黑体" w:hAnsi="黑体" w:eastAsia="黑体" w:cs="仿宋_GB2312"/>
              <w:bCs/>
              <w:sz w:val="32"/>
              <w:szCs w:val="32"/>
            </w:rPr>
            <w:fldChar w:fldCharType="end"/>
          </w:r>
        </w:p>
        <w:p>
          <w:pPr>
            <w:pStyle w:val="9"/>
            <w:tabs>
              <w:tab w:val="right" w:leader="dot" w:pos="8844"/>
            </w:tabs>
            <w:rPr>
              <w:rFonts w:ascii="黑体" w:hAnsi="黑体" w:eastAsia="黑体" w:cs="仿宋_GB2312"/>
              <w:bCs/>
              <w:sz w:val="32"/>
              <w:szCs w:val="32"/>
            </w:rPr>
          </w:pPr>
          <w:r>
            <w:fldChar w:fldCharType="begin"/>
          </w:r>
          <w:r>
            <w:instrText xml:space="preserve"> HYPERLINK \l "_Toc3150" </w:instrText>
          </w:r>
          <w:r>
            <w:fldChar w:fldCharType="separate"/>
          </w:r>
          <w:r>
            <w:rPr>
              <w:rFonts w:hint="eastAsia" w:ascii="黑体" w:hAnsi="黑体" w:eastAsia="黑体" w:cs="仿宋_GB2312"/>
              <w:bCs/>
              <w:sz w:val="32"/>
              <w:szCs w:val="32"/>
            </w:rPr>
            <w:t>九、实施保障</w:t>
          </w:r>
          <w:r>
            <w:rPr>
              <w:rFonts w:hint="eastAsia" w:ascii="黑体" w:hAnsi="黑体" w:eastAsia="黑体" w:cs="仿宋_GB2312"/>
              <w:bCs/>
              <w:sz w:val="32"/>
              <w:szCs w:val="32"/>
            </w:rPr>
            <w:tab/>
          </w:r>
          <w:r>
            <w:rPr>
              <w:rFonts w:hint="eastAsia" w:ascii="黑体" w:hAnsi="黑体" w:eastAsia="黑体" w:cs="仿宋_GB2312"/>
              <w:bCs/>
              <w:sz w:val="32"/>
              <w:szCs w:val="32"/>
            </w:rPr>
            <w:fldChar w:fldCharType="begin"/>
          </w:r>
          <w:r>
            <w:rPr>
              <w:rFonts w:hint="eastAsia" w:ascii="黑体" w:hAnsi="黑体" w:eastAsia="黑体" w:cs="仿宋_GB2312"/>
              <w:bCs/>
              <w:sz w:val="32"/>
              <w:szCs w:val="32"/>
            </w:rPr>
            <w:instrText xml:space="preserve"> PAGEREF _Toc3150 \h </w:instrText>
          </w:r>
          <w:r>
            <w:rPr>
              <w:rFonts w:hint="eastAsia" w:ascii="黑体" w:hAnsi="黑体" w:eastAsia="黑体" w:cs="仿宋_GB2312"/>
              <w:bCs/>
              <w:sz w:val="32"/>
              <w:szCs w:val="32"/>
            </w:rPr>
            <w:fldChar w:fldCharType="separate"/>
          </w:r>
          <w:r>
            <w:rPr>
              <w:rFonts w:ascii="黑体" w:hAnsi="黑体" w:eastAsia="黑体" w:cs="仿宋_GB2312"/>
              <w:bCs/>
              <w:sz w:val="32"/>
              <w:szCs w:val="32"/>
            </w:rPr>
            <w:t>14</w:t>
          </w:r>
          <w:r>
            <w:rPr>
              <w:rFonts w:hint="eastAsia" w:ascii="黑体" w:hAnsi="黑体" w:eastAsia="黑体" w:cs="仿宋_GB2312"/>
              <w:bCs/>
              <w:sz w:val="32"/>
              <w:szCs w:val="32"/>
            </w:rPr>
            <w:fldChar w:fldCharType="end"/>
          </w:r>
          <w:r>
            <w:rPr>
              <w:rFonts w:hint="eastAsia" w:ascii="黑体" w:hAnsi="黑体" w:eastAsia="黑体" w:cs="仿宋_GB2312"/>
              <w:bCs/>
              <w:sz w:val="32"/>
              <w:szCs w:val="32"/>
            </w:rPr>
            <w:fldChar w:fldCharType="end"/>
          </w:r>
        </w:p>
        <w:p>
          <w:pPr>
            <w:pStyle w:val="9"/>
            <w:tabs>
              <w:tab w:val="right" w:leader="dot" w:pos="8844"/>
            </w:tabs>
            <w:rPr>
              <w:rFonts w:ascii="黑体" w:hAnsi="黑体" w:eastAsia="黑体" w:cs="仿宋_GB2312"/>
              <w:bCs/>
              <w:sz w:val="32"/>
              <w:szCs w:val="32"/>
            </w:rPr>
          </w:pPr>
          <w:r>
            <w:fldChar w:fldCharType="begin"/>
          </w:r>
          <w:r>
            <w:instrText xml:space="preserve"> HYPERLINK \l "_Toc16787" </w:instrText>
          </w:r>
          <w:r>
            <w:fldChar w:fldCharType="separate"/>
          </w:r>
          <w:r>
            <w:rPr>
              <w:rFonts w:hint="eastAsia" w:ascii="黑体" w:hAnsi="黑体" w:eastAsia="黑体" w:cs="仿宋_GB2312"/>
              <w:bCs/>
              <w:sz w:val="32"/>
              <w:szCs w:val="32"/>
            </w:rPr>
            <w:t>十、毕业要求</w:t>
          </w:r>
          <w:r>
            <w:rPr>
              <w:rFonts w:hint="eastAsia" w:ascii="黑体" w:hAnsi="黑体" w:eastAsia="黑体" w:cs="仿宋_GB2312"/>
              <w:bCs/>
              <w:sz w:val="32"/>
              <w:szCs w:val="32"/>
            </w:rPr>
            <w:tab/>
          </w:r>
          <w:r>
            <w:rPr>
              <w:rFonts w:hint="eastAsia" w:ascii="黑体" w:hAnsi="黑体" w:eastAsia="黑体" w:cs="仿宋_GB2312"/>
              <w:bCs/>
              <w:sz w:val="32"/>
              <w:szCs w:val="32"/>
            </w:rPr>
            <w:fldChar w:fldCharType="begin"/>
          </w:r>
          <w:r>
            <w:rPr>
              <w:rFonts w:hint="eastAsia" w:ascii="黑体" w:hAnsi="黑体" w:eastAsia="黑体" w:cs="仿宋_GB2312"/>
              <w:bCs/>
              <w:sz w:val="32"/>
              <w:szCs w:val="32"/>
            </w:rPr>
            <w:instrText xml:space="preserve"> PAGEREF _Toc16787 \h </w:instrText>
          </w:r>
          <w:r>
            <w:rPr>
              <w:rFonts w:hint="eastAsia" w:ascii="黑体" w:hAnsi="黑体" w:eastAsia="黑体" w:cs="仿宋_GB2312"/>
              <w:bCs/>
              <w:sz w:val="32"/>
              <w:szCs w:val="32"/>
            </w:rPr>
            <w:fldChar w:fldCharType="separate"/>
          </w:r>
          <w:r>
            <w:rPr>
              <w:rFonts w:ascii="黑体" w:hAnsi="黑体" w:eastAsia="黑体" w:cs="仿宋_GB2312"/>
              <w:bCs/>
              <w:sz w:val="32"/>
              <w:szCs w:val="32"/>
            </w:rPr>
            <w:t>20</w:t>
          </w:r>
          <w:r>
            <w:rPr>
              <w:rFonts w:hint="eastAsia" w:ascii="黑体" w:hAnsi="黑体" w:eastAsia="黑体" w:cs="仿宋_GB2312"/>
              <w:bCs/>
              <w:sz w:val="32"/>
              <w:szCs w:val="32"/>
            </w:rPr>
            <w:fldChar w:fldCharType="end"/>
          </w:r>
          <w:r>
            <w:rPr>
              <w:rFonts w:hint="eastAsia" w:ascii="黑体" w:hAnsi="黑体" w:eastAsia="黑体" w:cs="仿宋_GB2312"/>
              <w:bCs/>
              <w:sz w:val="32"/>
              <w:szCs w:val="32"/>
            </w:rPr>
            <w:fldChar w:fldCharType="end"/>
          </w:r>
        </w:p>
        <w:p>
          <w:pPr>
            <w:pStyle w:val="9"/>
            <w:tabs>
              <w:tab w:val="right" w:leader="dot" w:pos="8844"/>
            </w:tabs>
            <w:rPr>
              <w:rFonts w:ascii="黑体" w:hAnsi="黑体" w:eastAsia="黑体"/>
              <w:sz w:val="32"/>
              <w:szCs w:val="32"/>
            </w:rPr>
          </w:pPr>
          <w:r>
            <w:fldChar w:fldCharType="begin"/>
          </w:r>
          <w:r>
            <w:instrText xml:space="preserve"> HYPERLINK \l "_Toc15115" </w:instrText>
          </w:r>
          <w:r>
            <w:fldChar w:fldCharType="separate"/>
          </w:r>
          <w:r>
            <w:rPr>
              <w:rFonts w:hint="eastAsia" w:ascii="黑体" w:hAnsi="黑体" w:eastAsia="黑体" w:cs="仿宋_GB2312"/>
              <w:bCs/>
              <w:sz w:val="32"/>
              <w:szCs w:val="32"/>
            </w:rPr>
            <w:t>十一、附录</w:t>
          </w:r>
          <w:r>
            <w:rPr>
              <w:rFonts w:hint="eastAsia" w:ascii="黑体" w:hAnsi="黑体" w:eastAsia="黑体" w:cs="仿宋_GB2312"/>
              <w:bCs/>
              <w:sz w:val="32"/>
              <w:szCs w:val="32"/>
            </w:rPr>
            <w:tab/>
          </w:r>
          <w:r>
            <w:rPr>
              <w:rFonts w:hint="eastAsia" w:ascii="黑体" w:hAnsi="黑体" w:eastAsia="黑体" w:cs="仿宋_GB2312"/>
              <w:bCs/>
              <w:sz w:val="32"/>
              <w:szCs w:val="32"/>
            </w:rPr>
            <w:fldChar w:fldCharType="begin"/>
          </w:r>
          <w:r>
            <w:rPr>
              <w:rFonts w:hint="eastAsia" w:ascii="黑体" w:hAnsi="黑体" w:eastAsia="黑体" w:cs="仿宋_GB2312"/>
              <w:bCs/>
              <w:sz w:val="32"/>
              <w:szCs w:val="32"/>
            </w:rPr>
            <w:instrText xml:space="preserve"> PAGEREF _Toc15115 \h </w:instrText>
          </w:r>
          <w:r>
            <w:rPr>
              <w:rFonts w:hint="eastAsia" w:ascii="黑体" w:hAnsi="黑体" w:eastAsia="黑体" w:cs="仿宋_GB2312"/>
              <w:bCs/>
              <w:sz w:val="32"/>
              <w:szCs w:val="32"/>
            </w:rPr>
            <w:fldChar w:fldCharType="separate"/>
          </w:r>
          <w:r>
            <w:rPr>
              <w:rFonts w:ascii="黑体" w:hAnsi="黑体" w:eastAsia="黑体" w:cs="仿宋_GB2312"/>
              <w:bCs/>
              <w:sz w:val="32"/>
              <w:szCs w:val="32"/>
            </w:rPr>
            <w:t>21</w:t>
          </w:r>
          <w:r>
            <w:rPr>
              <w:rFonts w:hint="eastAsia" w:ascii="黑体" w:hAnsi="黑体" w:eastAsia="黑体" w:cs="仿宋_GB2312"/>
              <w:bCs/>
              <w:sz w:val="32"/>
              <w:szCs w:val="32"/>
            </w:rPr>
            <w:fldChar w:fldCharType="end"/>
          </w:r>
          <w:r>
            <w:rPr>
              <w:rFonts w:hint="eastAsia" w:ascii="黑体" w:hAnsi="黑体" w:eastAsia="黑体" w:cs="仿宋_GB2312"/>
              <w:bCs/>
              <w:sz w:val="32"/>
              <w:szCs w:val="32"/>
            </w:rPr>
            <w:fldChar w:fldCharType="end"/>
          </w:r>
        </w:p>
        <w:p>
          <w:pPr>
            <w:rPr>
              <w:rFonts w:ascii="黑体" w:hAnsi="黑体" w:eastAsia="黑体"/>
              <w:sz w:val="32"/>
              <w:szCs w:val="32"/>
            </w:rPr>
          </w:pPr>
          <w:r>
            <w:rPr>
              <w:rFonts w:hint="eastAsia" w:ascii="黑体" w:hAnsi="黑体" w:eastAsia="黑体"/>
              <w:kern w:val="0"/>
              <w:sz w:val="32"/>
              <w:szCs w:val="32"/>
            </w:rPr>
            <w:fldChar w:fldCharType="end"/>
          </w:r>
        </w:p>
      </w:sdtContent>
    </w:sdt>
    <w:p>
      <w:pPr>
        <w:pStyle w:val="11"/>
        <w:spacing w:beforeLines="20" w:beforeAutospacing="0" w:afterLines="20" w:afterAutospacing="0" w:line="560" w:lineRule="exact"/>
        <w:ind w:firstLine="640" w:firstLineChars="200"/>
        <w:rPr>
          <w:rStyle w:val="20"/>
          <w:rFonts w:ascii="黑体" w:hAnsi="黑体" w:eastAsia="黑体"/>
          <w:sz w:val="32"/>
          <w:szCs w:val="32"/>
        </w:rPr>
      </w:pPr>
    </w:p>
    <w:p>
      <w:pPr>
        <w:pStyle w:val="11"/>
        <w:spacing w:beforeLines="20" w:beforeAutospacing="0" w:afterLines="20" w:afterAutospacing="0" w:line="560" w:lineRule="exact"/>
        <w:ind w:firstLine="640" w:firstLineChars="200"/>
        <w:rPr>
          <w:rStyle w:val="20"/>
          <w:rFonts w:ascii="黑体" w:hAnsi="黑体" w:eastAsia="黑体"/>
          <w:sz w:val="32"/>
          <w:szCs w:val="32"/>
        </w:rPr>
      </w:pPr>
    </w:p>
    <w:p>
      <w:pPr>
        <w:pStyle w:val="11"/>
        <w:spacing w:beforeLines="20" w:beforeAutospacing="0" w:afterLines="20" w:afterAutospacing="0" w:line="560" w:lineRule="exact"/>
        <w:ind w:firstLine="640" w:firstLineChars="200"/>
        <w:rPr>
          <w:rStyle w:val="20"/>
          <w:rFonts w:ascii="黑体" w:hAnsi="黑体" w:eastAsia="黑体"/>
          <w:sz w:val="32"/>
          <w:szCs w:val="32"/>
        </w:rPr>
      </w:pPr>
    </w:p>
    <w:p>
      <w:pPr>
        <w:pStyle w:val="11"/>
        <w:spacing w:beforeLines="20" w:beforeAutospacing="0" w:afterLines="20" w:afterAutospacing="0" w:line="560" w:lineRule="exact"/>
        <w:ind w:firstLine="640" w:firstLineChars="200"/>
        <w:rPr>
          <w:rStyle w:val="20"/>
          <w:rFonts w:ascii="黑体" w:hAnsi="黑体" w:eastAsia="黑体"/>
          <w:sz w:val="32"/>
          <w:szCs w:val="32"/>
        </w:rPr>
      </w:pPr>
    </w:p>
    <w:p>
      <w:pPr>
        <w:pStyle w:val="11"/>
        <w:spacing w:beforeLines="20" w:beforeAutospacing="0" w:afterLines="20" w:afterAutospacing="0" w:line="560" w:lineRule="exact"/>
        <w:rPr>
          <w:rStyle w:val="20"/>
          <w:rFonts w:ascii="黑体" w:hAnsi="黑体" w:eastAsia="黑体"/>
          <w:sz w:val="32"/>
          <w:szCs w:val="32"/>
        </w:rPr>
      </w:pPr>
    </w:p>
    <w:p>
      <w:pPr>
        <w:pStyle w:val="11"/>
        <w:spacing w:beforeLines="20" w:beforeAutospacing="0" w:afterLines="20" w:afterAutospacing="0" w:line="560" w:lineRule="exact"/>
        <w:ind w:firstLine="640" w:firstLineChars="200"/>
        <w:rPr>
          <w:rStyle w:val="20"/>
          <w:rFonts w:ascii="黑体" w:hAnsi="黑体" w:eastAsia="黑体"/>
          <w:sz w:val="32"/>
          <w:szCs w:val="32"/>
        </w:rPr>
        <w:sectPr>
          <w:headerReference r:id="rId3" w:type="default"/>
          <w:pgSz w:w="11906" w:h="16838"/>
          <w:pgMar w:top="2098" w:right="1474" w:bottom="1985" w:left="1588" w:header="851" w:footer="992" w:gutter="0"/>
          <w:pgNumType w:start="1"/>
          <w:cols w:space="425" w:num="1"/>
          <w:docGrid w:type="lines" w:linePitch="312" w:charSpace="0"/>
        </w:sectPr>
      </w:pPr>
      <w:bookmarkStart w:id="1" w:name="_Toc10168"/>
    </w:p>
    <w:p>
      <w:pPr>
        <w:pStyle w:val="11"/>
        <w:spacing w:beforeLines="20" w:beforeAutospacing="0" w:afterLines="20" w:afterAutospacing="0" w:line="560" w:lineRule="exact"/>
        <w:ind w:firstLine="640" w:firstLineChars="200"/>
        <w:rPr>
          <w:rStyle w:val="20"/>
          <w:rFonts w:eastAsia="黑体"/>
          <w:bCs w:val="0"/>
          <w:sz w:val="32"/>
          <w:szCs w:val="32"/>
        </w:rPr>
      </w:pPr>
      <w:r>
        <w:rPr>
          <w:rStyle w:val="20"/>
          <w:rFonts w:hint="eastAsia" w:ascii="黑体" w:hAnsi="黑体" w:eastAsia="黑体"/>
          <w:sz w:val="32"/>
          <w:szCs w:val="32"/>
        </w:rPr>
        <w:t>一、</w:t>
      </w:r>
      <w:r>
        <w:rPr>
          <w:rStyle w:val="20"/>
          <w:rFonts w:hint="eastAsia" w:eastAsia="黑体"/>
          <w:bCs w:val="0"/>
          <w:sz w:val="32"/>
          <w:szCs w:val="32"/>
        </w:rPr>
        <w:t>专业名称及代码</w:t>
      </w:r>
    </w:p>
    <w:bookmarkEnd w:id="1"/>
    <w:p>
      <w:pPr>
        <w:pStyle w:val="11"/>
        <w:spacing w:beforeLines="20" w:beforeAutospacing="0" w:afterLines="20" w:afterAutospacing="0"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幼儿保育专业（770101)</w:t>
      </w:r>
    </w:p>
    <w:p>
      <w:pPr>
        <w:pStyle w:val="11"/>
        <w:spacing w:beforeLines="20" w:beforeAutospacing="0" w:afterLines="20" w:afterAutospacing="0" w:line="560" w:lineRule="exact"/>
        <w:ind w:firstLine="640" w:firstLineChars="200"/>
        <w:rPr>
          <w:rStyle w:val="20"/>
          <w:rFonts w:ascii="黑体" w:hAnsi="黑体" w:eastAsia="黑体"/>
          <w:sz w:val="32"/>
          <w:szCs w:val="32"/>
        </w:rPr>
      </w:pPr>
      <w:bookmarkStart w:id="2" w:name="_Toc19800"/>
      <w:r>
        <w:rPr>
          <w:rStyle w:val="20"/>
          <w:rFonts w:hint="eastAsia" w:ascii="黑体" w:hAnsi="黑体" w:eastAsia="黑体"/>
          <w:sz w:val="32"/>
          <w:szCs w:val="32"/>
        </w:rPr>
        <w:t>二、入学要求</w:t>
      </w:r>
    </w:p>
    <w:bookmarkEnd w:id="2"/>
    <w:p>
      <w:pPr>
        <w:pStyle w:val="11"/>
        <w:spacing w:beforeLines="20" w:beforeAutospacing="0" w:afterLines="20" w:afterAutospacing="0" w:line="560" w:lineRule="exact"/>
        <w:ind w:firstLine="640" w:firstLineChars="200"/>
        <w:jc w:val="both"/>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初中毕业生或具有同等学力者。</w:t>
      </w:r>
    </w:p>
    <w:p>
      <w:pPr>
        <w:pStyle w:val="11"/>
        <w:spacing w:beforeLines="20" w:beforeAutospacing="0" w:afterLines="20" w:afterAutospacing="0" w:line="560" w:lineRule="exact"/>
        <w:ind w:firstLine="640" w:firstLineChars="200"/>
        <w:rPr>
          <w:rStyle w:val="20"/>
          <w:rFonts w:eastAsia="黑体"/>
          <w:bCs w:val="0"/>
          <w:sz w:val="32"/>
          <w:szCs w:val="32"/>
        </w:rPr>
      </w:pPr>
      <w:bookmarkStart w:id="3" w:name="_Toc816"/>
      <w:r>
        <w:rPr>
          <w:rStyle w:val="20"/>
          <w:rFonts w:hint="eastAsia" w:ascii="黑体" w:hAnsi="黑体" w:eastAsia="黑体"/>
          <w:sz w:val="32"/>
          <w:szCs w:val="32"/>
        </w:rPr>
        <w:t>三、</w:t>
      </w:r>
      <w:r>
        <w:rPr>
          <w:rStyle w:val="20"/>
          <w:rFonts w:hint="eastAsia" w:eastAsia="黑体"/>
          <w:bCs w:val="0"/>
          <w:sz w:val="32"/>
          <w:szCs w:val="32"/>
        </w:rPr>
        <w:t>学习年限</w:t>
      </w:r>
    </w:p>
    <w:bookmarkEnd w:id="3"/>
    <w:p>
      <w:pPr>
        <w:pStyle w:val="11"/>
        <w:spacing w:beforeLines="20" w:beforeAutospacing="0" w:afterLines="20" w:afterAutospacing="0" w:line="560" w:lineRule="exact"/>
        <w:ind w:firstLine="640" w:firstLineChars="200"/>
        <w:jc w:val="both"/>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3年</w:t>
      </w:r>
    </w:p>
    <w:p>
      <w:pPr>
        <w:pStyle w:val="11"/>
        <w:numPr>
          <w:ilvl w:val="0"/>
          <w:numId w:val="1"/>
        </w:numPr>
        <w:spacing w:beforeLines="20" w:beforeAutospacing="0" w:afterLines="20" w:afterAutospacing="0" w:line="560" w:lineRule="exact"/>
        <w:ind w:firstLine="640" w:firstLineChars="200"/>
        <w:rPr>
          <w:rStyle w:val="20"/>
          <w:rFonts w:eastAsia="黑体"/>
          <w:bCs w:val="0"/>
          <w:sz w:val="32"/>
          <w:szCs w:val="32"/>
        </w:rPr>
      </w:pPr>
      <w:bookmarkStart w:id="4" w:name="_Toc12523"/>
      <w:r>
        <w:rPr>
          <w:rStyle w:val="20"/>
          <w:rFonts w:hint="eastAsia" w:eastAsia="黑体"/>
          <w:bCs w:val="0"/>
          <w:sz w:val="32"/>
          <w:szCs w:val="32"/>
        </w:rPr>
        <w:t>职业面向</w:t>
      </w:r>
    </w:p>
    <w:bookmarkEnd w:id="4"/>
    <w:tbl>
      <w:tblPr>
        <w:tblStyle w:val="13"/>
        <w:tblW w:w="8074" w:type="dxa"/>
        <w:jc w:val="center"/>
        <w:tblLayout w:type="autofit"/>
        <w:tblCellMar>
          <w:top w:w="0" w:type="dxa"/>
          <w:left w:w="10" w:type="dxa"/>
          <w:bottom w:w="0" w:type="dxa"/>
          <w:right w:w="10" w:type="dxa"/>
        </w:tblCellMar>
      </w:tblPr>
      <w:tblGrid>
        <w:gridCol w:w="1125"/>
        <w:gridCol w:w="2599"/>
        <w:gridCol w:w="4350"/>
      </w:tblGrid>
      <w:tr>
        <w:trPr>
          <w:trHeight w:val="1102" w:hRule="exact"/>
          <w:jc w:val="center"/>
        </w:trPr>
        <w:tc>
          <w:tcPr>
            <w:tcW w:w="1125" w:type="dxa"/>
            <w:tcBorders>
              <w:top w:val="single" w:color="auto" w:sz="4" w:space="0"/>
              <w:left w:val="single" w:color="auto" w:sz="4" w:space="0"/>
            </w:tcBorders>
            <w:shd w:val="clear" w:color="auto" w:fill="FFFFFF"/>
            <w:vAlign w:val="center"/>
          </w:tcPr>
          <w:p>
            <w:pPr>
              <w:pStyle w:val="11"/>
              <w:spacing w:beforeLines="20" w:beforeAutospacing="0" w:afterLines="20" w:afterAutospacing="0" w:line="300" w:lineRule="exact"/>
              <w:ind w:firstLine="320" w:firstLineChars="1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599" w:type="dxa"/>
            <w:tcBorders>
              <w:top w:val="single" w:color="auto" w:sz="4" w:space="0"/>
              <w:left w:val="single" w:color="auto" w:sz="4" w:space="0"/>
            </w:tcBorders>
            <w:shd w:val="clear" w:color="auto" w:fill="FFFFFF"/>
            <w:vAlign w:val="center"/>
          </w:tcPr>
          <w:p>
            <w:pPr>
              <w:pStyle w:val="11"/>
              <w:spacing w:beforeLines="20" w:beforeAutospacing="0" w:afterLines="20" w:afterAutospacing="0" w:line="300" w:lineRule="exact"/>
              <w:ind w:firstLine="320" w:firstLineChars="10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对应职业(岗位）</w:t>
            </w:r>
          </w:p>
        </w:tc>
        <w:tc>
          <w:tcPr>
            <w:tcW w:w="43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岗位职业资格或技能证书举例</w:t>
            </w:r>
          </w:p>
        </w:tc>
      </w:tr>
      <w:tr>
        <w:tblPrEx>
          <w:tblCellMar>
            <w:top w:w="0" w:type="dxa"/>
            <w:left w:w="10" w:type="dxa"/>
            <w:bottom w:w="0" w:type="dxa"/>
            <w:right w:w="10" w:type="dxa"/>
          </w:tblCellMar>
        </w:tblPrEx>
        <w:trPr>
          <w:trHeight w:val="667" w:hRule="exact"/>
          <w:jc w:val="center"/>
        </w:trPr>
        <w:tc>
          <w:tcPr>
            <w:tcW w:w="1125" w:type="dxa"/>
            <w:tcBorders>
              <w:top w:val="single" w:color="auto" w:sz="4" w:space="0"/>
              <w:left w:val="single" w:color="auto" w:sz="4" w:space="0"/>
            </w:tcBorders>
            <w:shd w:val="clear" w:color="auto" w:fill="FFFFFF"/>
            <w:vAlign w:val="center"/>
          </w:tcPr>
          <w:p>
            <w:pPr>
              <w:pStyle w:val="11"/>
              <w:spacing w:beforeLines="20" w:beforeAutospacing="0" w:afterLines="20" w:afterAutospacing="0" w:line="3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2599" w:type="dxa"/>
            <w:tcBorders>
              <w:top w:val="single" w:color="auto" w:sz="4" w:space="0"/>
              <w:left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幼儿园教师</w:t>
            </w:r>
          </w:p>
        </w:tc>
        <w:tc>
          <w:tcPr>
            <w:tcW w:w="43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ind w:firstLine="627" w:firstLineChars="196"/>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幼儿园教师资格证</w:t>
            </w:r>
          </w:p>
        </w:tc>
      </w:tr>
      <w:tr>
        <w:tblPrEx>
          <w:tblCellMar>
            <w:top w:w="0" w:type="dxa"/>
            <w:left w:w="10" w:type="dxa"/>
            <w:bottom w:w="0" w:type="dxa"/>
            <w:right w:w="10" w:type="dxa"/>
          </w:tblCellMar>
        </w:tblPrEx>
        <w:trPr>
          <w:trHeight w:val="703" w:hRule="exact"/>
          <w:jc w:val="center"/>
        </w:trPr>
        <w:tc>
          <w:tcPr>
            <w:tcW w:w="1125"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ind w:firstLine="627" w:firstLineChars="196"/>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p>
        </w:tc>
        <w:tc>
          <w:tcPr>
            <w:tcW w:w="2599"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幼儿园生活指导老师</w:t>
            </w:r>
          </w:p>
        </w:tc>
        <w:tc>
          <w:tcPr>
            <w:tcW w:w="43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ind w:firstLine="627" w:firstLineChars="196"/>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保育员</w:t>
            </w:r>
          </w:p>
        </w:tc>
      </w:tr>
      <w:tr>
        <w:tblPrEx>
          <w:tblCellMar>
            <w:top w:w="0" w:type="dxa"/>
            <w:left w:w="10" w:type="dxa"/>
            <w:bottom w:w="0" w:type="dxa"/>
            <w:right w:w="10" w:type="dxa"/>
          </w:tblCellMar>
        </w:tblPrEx>
        <w:trPr>
          <w:trHeight w:val="703" w:hRule="exact"/>
          <w:jc w:val="center"/>
        </w:trPr>
        <w:tc>
          <w:tcPr>
            <w:tcW w:w="112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ind w:firstLine="627" w:firstLineChars="196"/>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p>
        </w:tc>
        <w:tc>
          <w:tcPr>
            <w:tcW w:w="259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育婴员</w:t>
            </w:r>
          </w:p>
        </w:tc>
        <w:tc>
          <w:tcPr>
            <w:tcW w:w="43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ind w:firstLine="627" w:firstLineChars="196"/>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育婴员</w:t>
            </w:r>
          </w:p>
        </w:tc>
      </w:tr>
    </w:tbl>
    <w:p>
      <w:pPr>
        <w:pStyle w:val="11"/>
        <w:spacing w:beforeLines="20" w:beforeAutospacing="0" w:afterLines="20" w:afterAutospacing="0" w:line="560" w:lineRule="exact"/>
        <w:ind w:firstLine="640" w:firstLineChars="200"/>
        <w:rPr>
          <w:rStyle w:val="20"/>
          <w:rFonts w:eastAsia="黑体"/>
          <w:bCs w:val="0"/>
          <w:sz w:val="32"/>
          <w:szCs w:val="32"/>
        </w:rPr>
      </w:pPr>
      <w:bookmarkStart w:id="5" w:name="_Toc12198"/>
      <w:r>
        <w:rPr>
          <w:rStyle w:val="20"/>
          <w:rFonts w:hint="eastAsia" w:ascii="黑体" w:hAnsi="黑体" w:eastAsia="黑体"/>
          <w:sz w:val="32"/>
          <w:szCs w:val="32"/>
        </w:rPr>
        <w:t>五、</w:t>
      </w:r>
      <w:r>
        <w:rPr>
          <w:rStyle w:val="20"/>
          <w:rFonts w:hint="eastAsia" w:eastAsia="黑体"/>
          <w:bCs w:val="0"/>
          <w:sz w:val="32"/>
          <w:szCs w:val="32"/>
        </w:rPr>
        <w:t>培养目标和培养规格</w:t>
      </w:r>
    </w:p>
    <w:bookmarkEnd w:id="5"/>
    <w:p>
      <w:pPr>
        <w:spacing w:line="560" w:lineRule="exact"/>
        <w:ind w:left="481"/>
        <w:rPr>
          <w:rFonts w:ascii="楷体_GB2312" w:eastAsia="楷体_GB2312"/>
          <w:b/>
          <w:sz w:val="32"/>
          <w:szCs w:val="32"/>
        </w:rPr>
      </w:pPr>
      <w:r>
        <w:rPr>
          <w:rFonts w:hint="eastAsia" w:ascii="楷体_GB2312" w:eastAsia="楷体_GB2312"/>
          <w:b/>
          <w:sz w:val="32"/>
          <w:szCs w:val="32"/>
        </w:rPr>
        <w:t>（一）培养目标</w:t>
      </w:r>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本专业坚持立德树人为根本宗旨，面向托幼机构、幼儿园、社会福利机构及其他保育机构，培养身心健康、素质良好、技能精湛的，具有爱心、耐心、责任心的职业道德及奉献精神，掌握婴幼儿保育教育的相关理论与知识，熟悉婴幼儿身心发展规律和保教基本规律，具备婴幼儿保育和教育工作能力及持续学习与发展能力，德智体美劳全面发展的高素质，善保教的专业人才，为高职幼儿保育专业和社会输送人才。</w:t>
      </w: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（二）培养规格</w:t>
      </w:r>
    </w:p>
    <w:p>
      <w:pPr>
        <w:pStyle w:val="11"/>
        <w:spacing w:beforeLines="20" w:beforeAutospacing="0" w:afterLines="2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本专业毕业生应具有以下专业态度、专业知识和专业能力：</w:t>
      </w:r>
    </w:p>
    <w:p>
      <w:pPr>
        <w:pStyle w:val="11"/>
        <w:spacing w:beforeLines="20" w:beforeAutospacing="0" w:afterLines="20" w:afterAutospacing="0" w:line="480" w:lineRule="exact"/>
        <w:ind w:left="42" w:leftChars="20" w:right="42" w:rightChars="20" w:firstLine="640" w:firstLineChars="200"/>
        <w:jc w:val="both"/>
        <w:rPr>
          <w:rFonts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1.专业态度</w:t>
      </w:r>
    </w:p>
    <w:p>
      <w:pPr>
        <w:pStyle w:val="11"/>
        <w:spacing w:beforeLines="20" w:beforeAutospacing="0" w:afterLines="2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（1）贯彻党和国家教育方针政策，遵守教育法律法规；</w:t>
      </w:r>
    </w:p>
    <w:p>
      <w:pPr>
        <w:pStyle w:val="11"/>
        <w:spacing w:beforeLines="20" w:beforeAutospacing="0" w:afterLines="2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（2）理解幼儿保教工作的意义，热爱幼儿保育事业，具有职业理想和敬业精神以及良好的职业道德；</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（3）关爱幼儿，尊重幼儿，平等对待每一位幼儿；</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（4）有优秀的职业品质、良好的师德，有责任心、爱心、耐心、细心；</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（5）能在工作中与他人积极合作；</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（6）具有良好的身体、健全的人格、坚强的意志、较强的心理承受能力、乐观向上的思想情绪等良好的基本素质。</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2.专业知识</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（1）了解关于幼儿生存、发展和保护的有关法律法规及政策规定；</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（2）掌握不同年龄幼儿身心发展特点、规律和促进幼儿全面发展的策略和方法；</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（3）熟悉幼儿园教育的目标、任务、内容、要求和基本原则；</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（4）掌握幼儿教育基本原理、知识；</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（5）掌握幼儿卫生保健基本常识和相关知识；</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（6）掌握开展幼儿教育教学活动所需要的体育、艺术知识；</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（7）掌握各科教学法知识及组织幼儿活动所必须的基本知识；</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（8）掌握信息技术知识；</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（9）掌握婴幼儿生理学、营养学、婴幼儿卫生与保健、婴幼儿营养与健康等职业群基础知识；</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（10）掌握婴幼儿健康监测、评估、咨询、指导的基本知识；</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（11）掌握婴幼儿疾病防治的基本知识；</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（12）掌握婴幼儿发展的特点与规律，能用科学的理念与方法指导婴幼儿的家庭教育，促进婴幼儿健康发展。</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3.专业能力</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（1）能创设有助于促进幼儿成长、学习、游戏的教育环境；</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（2）能科学照料幼儿日常生活，指导和协助保育员做好班级常规保育和卫生工作；</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（3）能提供符合幼儿兴趣需要、年龄特点和发展目标的游戏条件，支持、引发和促进幼儿的游戏；</w:t>
      </w:r>
    </w:p>
    <w:p>
      <w:pPr>
        <w:pStyle w:val="11"/>
        <w:spacing w:before="0" w:beforeAutospacing="0" w:after="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（4）能掌握弹、唱、画、跳、做、说、教、表演等技能技巧，设计组织实施幼儿园教学活动；</w:t>
      </w:r>
    </w:p>
    <w:p>
      <w:pPr>
        <w:pStyle w:val="11"/>
        <w:spacing w:beforeLines="20" w:beforeAutospacing="0" w:afterLines="2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（5）能制作教具、学具；</w:t>
      </w:r>
    </w:p>
    <w:p>
      <w:pPr>
        <w:pStyle w:val="11"/>
        <w:spacing w:beforeLines="20" w:beforeAutospacing="0" w:afterLines="2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（6）能组织幼儿园日常活动、生活活动、游戏活动、户外活动等；</w:t>
      </w:r>
    </w:p>
    <w:p>
      <w:pPr>
        <w:pStyle w:val="11"/>
        <w:spacing w:beforeLines="20" w:beforeAutospacing="0" w:afterLines="2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（7）能科学评价幼儿；</w:t>
      </w:r>
    </w:p>
    <w:p>
      <w:pPr>
        <w:pStyle w:val="11"/>
        <w:spacing w:beforeLines="20" w:beforeAutospacing="0" w:afterLines="2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（8）能精心照顾幼儿的一日生活；</w:t>
      </w:r>
    </w:p>
    <w:p>
      <w:pPr>
        <w:pStyle w:val="11"/>
        <w:spacing w:beforeLines="20" w:beforeAutospacing="0" w:afterLines="2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（9）能做好班级各项卫生及消毒工作；</w:t>
      </w:r>
    </w:p>
    <w:p>
      <w:pPr>
        <w:pStyle w:val="11"/>
        <w:spacing w:beforeLines="20" w:beforeAutospacing="0" w:afterLines="2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（10）能关注幼儿的身心健康，帮助幼儿养成良好的生活卫生习惯，进行健康教育；</w:t>
      </w:r>
    </w:p>
    <w:p>
      <w:pPr>
        <w:pStyle w:val="11"/>
        <w:spacing w:beforeLines="20" w:beforeAutospacing="0" w:afterLines="2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（11）能进行家庭教育指导，会开展各种形式的家园共育活动，如组织家长会等；</w:t>
      </w:r>
    </w:p>
    <w:p>
      <w:pPr>
        <w:pStyle w:val="11"/>
        <w:spacing w:beforeLines="20" w:beforeAutospacing="0" w:afterLines="2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（12）能胜任婴幼儿身心发展与健康管理工作；</w:t>
      </w:r>
    </w:p>
    <w:p>
      <w:pPr>
        <w:pStyle w:val="11"/>
        <w:spacing w:beforeLines="20" w:beforeAutospacing="0" w:afterLines="2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（13）能制作满足婴幼儿健康发展需求营养餐；</w:t>
      </w:r>
    </w:p>
    <w:p>
      <w:pPr>
        <w:pStyle w:val="11"/>
        <w:spacing w:beforeLines="20" w:beforeAutospacing="0" w:afterLines="20" w:afterAutospacing="0" w:line="480" w:lineRule="exact"/>
        <w:ind w:left="42" w:leftChars="20" w:right="42" w:rightChars="20"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（14）能对婴幼儿进行卫生保健护理；</w:t>
      </w:r>
    </w:p>
    <w:p>
      <w:pPr>
        <w:spacing w:line="560" w:lineRule="exact"/>
        <w:ind w:firstLine="627" w:firstLineChars="196"/>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（15）能对婴幼儿进行相关的行为与心理辅导和训练。</w:t>
      </w:r>
    </w:p>
    <w:p>
      <w:pPr>
        <w:pStyle w:val="11"/>
        <w:spacing w:beforeLines="20" w:beforeAutospacing="0" w:afterLines="20" w:afterAutospacing="0" w:line="480" w:lineRule="exact"/>
        <w:ind w:left="42" w:leftChars="20" w:right="42" w:rightChars="20" w:firstLine="960" w:firstLineChars="300"/>
        <w:jc w:val="both"/>
        <w:rPr>
          <w:rFonts w:cs="宋体"/>
          <w:b/>
          <w:bCs/>
        </w:rPr>
      </w:pPr>
      <w:bookmarkStart w:id="6" w:name="_Toc31396"/>
      <w:r>
        <w:rPr>
          <w:rStyle w:val="20"/>
          <w:rFonts w:hint="eastAsia" w:ascii="Times New Roman" w:hAnsi="Times New Roman" w:eastAsia="黑体"/>
          <w:bCs w:val="0"/>
          <w:sz w:val="32"/>
          <w:szCs w:val="32"/>
        </w:rPr>
        <w:t>六、主要接续专业</w:t>
      </w:r>
      <w:bookmarkEnd w:id="6"/>
    </w:p>
    <w:p>
      <w:pPr>
        <w:pStyle w:val="18"/>
        <w:spacing w:line="480" w:lineRule="exact"/>
        <w:ind w:left="42" w:leftChars="20" w:right="42" w:rightChars="20" w:firstLine="960" w:firstLineChars="3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高职：学前教育、幼儿</w:t>
      </w:r>
      <w:r>
        <w:rPr>
          <w:rFonts w:hint="eastAsia" w:ascii="宋体" w:hAnsi="宋体" w:cs="宋体"/>
          <w:color w:val="000000"/>
          <w:kern w:val="0"/>
          <w:sz w:val="32"/>
          <w:szCs w:val="32"/>
        </w:rPr>
        <w:t>发展与管理</w:t>
      </w:r>
    </w:p>
    <w:p>
      <w:pPr>
        <w:pStyle w:val="18"/>
        <w:spacing w:line="480" w:lineRule="exact"/>
        <w:ind w:left="42" w:leftChars="20" w:right="42" w:rightChars="20" w:firstLine="960" w:firstLineChars="3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本科：学前教育、幼儿</w:t>
      </w:r>
      <w:r>
        <w:rPr>
          <w:rFonts w:hint="eastAsia" w:ascii="宋体" w:hAnsi="宋体" w:cs="宋体"/>
          <w:color w:val="000000"/>
          <w:kern w:val="0"/>
          <w:sz w:val="32"/>
          <w:szCs w:val="32"/>
        </w:rPr>
        <w:t>发展与管理</w:t>
      </w:r>
    </w:p>
    <w:p>
      <w:pPr>
        <w:pStyle w:val="11"/>
        <w:spacing w:beforeLines="20" w:beforeAutospacing="0" w:afterLines="20" w:afterAutospacing="0" w:line="560" w:lineRule="exact"/>
        <w:ind w:firstLine="960" w:firstLineChars="300"/>
        <w:rPr>
          <w:rStyle w:val="20"/>
          <w:rFonts w:eastAsia="黑体"/>
          <w:bCs w:val="0"/>
          <w:sz w:val="32"/>
          <w:szCs w:val="32"/>
        </w:rPr>
      </w:pPr>
      <w:bookmarkStart w:id="7" w:name="_Toc26445"/>
      <w:r>
        <w:rPr>
          <w:rStyle w:val="20"/>
          <w:rFonts w:hint="eastAsia" w:eastAsia="黑体"/>
          <w:bCs w:val="0"/>
          <w:sz w:val="32"/>
          <w:szCs w:val="32"/>
        </w:rPr>
        <w:t>七、课程设置及要求</w:t>
      </w:r>
    </w:p>
    <w:bookmarkEnd w:id="7"/>
    <w:p>
      <w:pPr>
        <w:pStyle w:val="18"/>
        <w:spacing w:line="560" w:lineRule="exact"/>
        <w:ind w:firstLine="643" w:firstLineChars="200"/>
        <w:rPr>
          <w:rFonts w:ascii="楷体_GB2312" w:eastAsia="楷体_GB2312"/>
          <w:b/>
          <w:sz w:val="32"/>
          <w:szCs w:val="32"/>
        </w:rPr>
      </w:pPr>
      <w:r>
        <w:rPr>
          <w:rFonts w:hint="eastAsia" w:ascii="楷体_GB2312" w:eastAsia="楷体_GB2312"/>
          <w:b/>
          <w:sz w:val="32"/>
          <w:szCs w:val="32"/>
        </w:rPr>
        <w:t>（一）公共基础课程</w:t>
      </w:r>
    </w:p>
    <w:tbl>
      <w:tblPr>
        <w:tblStyle w:val="13"/>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885"/>
        <w:gridCol w:w="4961"/>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序号</w:t>
            </w:r>
          </w:p>
        </w:tc>
        <w:tc>
          <w:tcPr>
            <w:tcW w:w="1885"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课程名称</w:t>
            </w:r>
          </w:p>
        </w:tc>
        <w:tc>
          <w:tcPr>
            <w:tcW w:w="4961"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主要教学内容和要求</w:t>
            </w:r>
          </w:p>
        </w:tc>
        <w:tc>
          <w:tcPr>
            <w:tcW w:w="11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9"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8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语文</w:t>
            </w:r>
          </w:p>
        </w:tc>
        <w:tc>
          <w:tcPr>
            <w:tcW w:w="4961"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依据《</w:t>
            </w:r>
            <w:r>
              <w:rPr>
                <w:rFonts w:hint="eastAsia" w:ascii="仿宋_GB2312" w:hAnsi="仿宋_GB2312" w:eastAsia="仿宋_GB2312" w:cs="仿宋_GB2312"/>
                <w:sz w:val="24"/>
              </w:rPr>
              <w:t>中等职业学校语文课程标准（2020年版）</w:t>
            </w:r>
            <w:r>
              <w:rPr>
                <w:rFonts w:hint="eastAsia" w:ascii="仿宋_GB2312" w:hAnsi="仿宋_GB2312" w:eastAsia="仿宋_GB2312" w:cs="仿宋_GB2312"/>
                <w:color w:val="000000"/>
                <w:kern w:val="0"/>
                <w:sz w:val="24"/>
              </w:rPr>
              <w:t>》开设，指导学生学习必需的语文基础知识，并注重培养学生掌握日常生活和职业岗位需要的现代文阅读能力、写作能力、口语交际能力，具有初步的文学作品欣赏能力和浅易文言文阅读能力。</w:t>
            </w:r>
          </w:p>
        </w:tc>
        <w:tc>
          <w:tcPr>
            <w:tcW w:w="11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9"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8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数学</w:t>
            </w:r>
          </w:p>
        </w:tc>
        <w:tc>
          <w:tcPr>
            <w:tcW w:w="4961"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依据《中等职业学校数学课程标准（2020年版）》开设，培养学生的计算技能、计算工具使用技能和数据处理技能，培养学生的观察能力、空间想象能力、分析与解决问题能力和数学思维能力。引导学生逐步养成良好的学习习惯、实践意识、创新意识和实事求是的科学态度，提高学生就业能力与创业能力。</w:t>
            </w:r>
          </w:p>
        </w:tc>
        <w:tc>
          <w:tcPr>
            <w:tcW w:w="11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w:t>
            </w:r>
          </w:p>
        </w:tc>
        <w:tc>
          <w:tcPr>
            <w:tcW w:w="188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英语</w:t>
            </w:r>
          </w:p>
        </w:tc>
        <w:tc>
          <w:tcPr>
            <w:tcW w:w="4961"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依据《中等职业学校英语课程标准（2020年版）》开设，帮助学生进一步学习英语基础知识，培养听、说、读、写等语言技能，初步形成职场英语的应用能力；激发和培养学生学习英语的兴趣，提高学生学习的自信心，帮助学生掌握学习策略，养成良好的学习习惯，提高自主学习能力。</w:t>
            </w:r>
          </w:p>
        </w:tc>
        <w:tc>
          <w:tcPr>
            <w:tcW w:w="11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7"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1885"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心理健康与职业生涯</w:t>
            </w:r>
          </w:p>
        </w:tc>
        <w:tc>
          <w:tcPr>
            <w:tcW w:w="4961"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依据《中等职业学校心理健康与职业生涯课程标准（2020年版）》开设，使学生掌握职业生涯规划的基础知识和常用方法，树立正确的职业理想和职业观、择业观、创业观以及成才观，形成职业生涯规划的能力，增强提高职业素质和职业能力的自觉性，做好适应社会、融入社会和就业、创业的准备。</w:t>
            </w:r>
          </w:p>
        </w:tc>
        <w:tc>
          <w:tcPr>
            <w:tcW w:w="11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w:t>
            </w:r>
          </w:p>
        </w:tc>
        <w:tc>
          <w:tcPr>
            <w:tcW w:w="18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4"/>
              </w:rPr>
            </w:pPr>
            <w:r>
              <w:rPr>
                <w:rFonts w:hint="eastAsia" w:ascii="仿宋_GB2312" w:hAnsi="仿宋_GB2312" w:eastAsia="仿宋_GB2312" w:cs="仿宋_GB2312"/>
                <w:color w:val="000000"/>
                <w:kern w:val="0"/>
                <w:sz w:val="24"/>
              </w:rPr>
              <w:t>职业道德与法治</w:t>
            </w:r>
          </w:p>
        </w:tc>
        <w:tc>
          <w:tcPr>
            <w:tcW w:w="4961"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依据《中等职业学校职业道德与法治课程标准（2020年版）》开设，帮助学生了解文明礼仪的基本要求、职业道德的作用和基本规范，陶冶道德情操，增强职业道德意识，养成职业道德行为习惯；指导学生掌握与日常生活和职业活动密切相关的法律常识，树立法治观念，增强法律意识，成为懂法、守法、用法的公民。</w:t>
            </w:r>
          </w:p>
        </w:tc>
        <w:tc>
          <w:tcPr>
            <w:tcW w:w="11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6</w:t>
            </w:r>
          </w:p>
        </w:tc>
        <w:tc>
          <w:tcPr>
            <w:tcW w:w="1885" w:type="dxa"/>
            <w:tcBorders>
              <w:top w:val="single" w:color="auto" w:sz="4" w:space="0"/>
              <w:left w:val="single" w:color="auto" w:sz="4" w:space="0"/>
              <w:bottom w:val="single" w:color="auto" w:sz="4" w:space="0"/>
              <w:right w:val="single" w:color="auto" w:sz="4" w:space="0"/>
            </w:tcBorders>
            <w:vAlign w:val="center"/>
          </w:tcPr>
          <w:p>
            <w:pPr>
              <w:widowControl/>
              <w:spacing w:beforeLines="20" w:afterLines="20"/>
              <w:ind w:firstLine="240" w:firstLineChars="10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历史</w:t>
            </w:r>
          </w:p>
        </w:tc>
        <w:tc>
          <w:tcPr>
            <w:tcW w:w="4961" w:type="dxa"/>
            <w:tcBorders>
              <w:top w:val="single" w:color="auto" w:sz="4" w:space="0"/>
              <w:left w:val="single" w:color="auto" w:sz="4" w:space="0"/>
              <w:bottom w:val="single" w:color="auto" w:sz="4" w:space="0"/>
              <w:right w:val="single" w:color="auto" w:sz="4" w:space="0"/>
            </w:tcBorders>
            <w:vAlign w:val="center"/>
          </w:tcPr>
          <w:p>
            <w:pPr>
              <w:widowControl/>
              <w:spacing w:beforeLines="20" w:afterLines="20"/>
              <w:jc w:val="left"/>
              <w:rPr>
                <w:rFonts w:ascii="仿宋_GB2312" w:hAnsi="仿宋_GB2312" w:eastAsia="仿宋_GB2312" w:cs="仿宋_GB2312"/>
                <w:kern w:val="0"/>
                <w:sz w:val="24"/>
              </w:rPr>
            </w:pPr>
            <w:r>
              <w:rPr>
                <w:rFonts w:hint="eastAsia" w:ascii="仿宋_GB2312" w:hAnsi="仿宋_GB2312" w:eastAsia="仿宋_GB2312" w:cs="仿宋_GB2312"/>
                <w:color w:val="000000"/>
                <w:kern w:val="0"/>
                <w:sz w:val="24"/>
              </w:rPr>
              <w:t>依据《中等职业学校历史课程标准（2020年版）》开设，并与专业 实际和行业发展密切结合</w:t>
            </w:r>
          </w:p>
        </w:tc>
        <w:tc>
          <w:tcPr>
            <w:tcW w:w="1180" w:type="dxa"/>
            <w:tcBorders>
              <w:top w:val="single" w:color="auto" w:sz="4" w:space="0"/>
              <w:left w:val="single" w:color="auto" w:sz="4" w:space="0"/>
              <w:bottom w:val="single" w:color="auto" w:sz="4" w:space="0"/>
              <w:right w:val="single" w:color="auto" w:sz="4" w:space="0"/>
            </w:tcBorders>
            <w:vAlign w:val="center"/>
          </w:tcPr>
          <w:p>
            <w:pPr>
              <w:widowControl/>
              <w:spacing w:beforeLines="20" w:afterLines="20"/>
              <w:ind w:firstLine="360" w:firstLineChars="15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w:t>
            </w:r>
          </w:p>
        </w:tc>
        <w:tc>
          <w:tcPr>
            <w:tcW w:w="188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哲学与人生</w:t>
            </w:r>
          </w:p>
        </w:tc>
        <w:tc>
          <w:tcPr>
            <w:tcW w:w="4961"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依据《中等职业学校哲学与人生课程标准（2020年版）》开设，使学生了解马克思主义哲学中与人生发展关系密切的基础知识，提高学生用马克思主义哲学的基本观点、方法分析和解决人生发展重要问题的能力，引导学生进行正确的价值判断和行为选择，形成积极向上的人生态度，为人生的健康发展奠定思想基础。</w:t>
            </w:r>
          </w:p>
        </w:tc>
        <w:tc>
          <w:tcPr>
            <w:tcW w:w="11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8</w:t>
            </w:r>
          </w:p>
        </w:tc>
        <w:tc>
          <w:tcPr>
            <w:tcW w:w="18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4"/>
              </w:rPr>
            </w:pPr>
            <w:r>
              <w:rPr>
                <w:rFonts w:hint="eastAsia" w:ascii="仿宋_GB2312" w:hAnsi="仿宋_GB2312" w:eastAsia="仿宋_GB2312" w:cs="仿宋_GB2312"/>
                <w:color w:val="000000"/>
                <w:kern w:val="0"/>
                <w:sz w:val="24"/>
              </w:rPr>
              <w:t>体育与健康</w:t>
            </w:r>
          </w:p>
        </w:tc>
        <w:tc>
          <w:tcPr>
            <w:tcW w:w="4961"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依据《中等职业学校体育与健康课程标准（2020年版）》开设，引导学生树立“健康第一”的思想，传授体育与健康的基本文化知识、体育技能和方法，通过科学指导和安排体育锻炼过程，培养学生的健康人格、增强体能素质、提高综合职业能力，养成终身从事体育锻炼的意识、能力与习惯，提高生活质量，为全面促进学生身体健康、心理健康和社会适应能力服务。</w:t>
            </w:r>
          </w:p>
        </w:tc>
        <w:tc>
          <w:tcPr>
            <w:tcW w:w="11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9</w:t>
            </w:r>
          </w:p>
        </w:tc>
        <w:tc>
          <w:tcPr>
            <w:tcW w:w="188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公共艺术</w:t>
            </w:r>
          </w:p>
        </w:tc>
        <w:tc>
          <w:tcPr>
            <w:tcW w:w="4961"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依据《中等职业学校公共艺术课程标准（2020年版）》开设，通过艺术作品赏析和艺术实践活动，使学生了解或掌握不同艺术门类的基本知识、技能和原理，引导学生树立正确的世界观、人生观和价值观，增强文化自觉与文化自信，丰富学生人文素养与精神世界，培养学生艺术欣赏能力，提高学生文化品位和审美素质，培育学生职业素养、创新能力与合作意识。</w:t>
            </w:r>
          </w:p>
        </w:tc>
        <w:tc>
          <w:tcPr>
            <w:tcW w:w="11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3"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w:t>
            </w:r>
          </w:p>
        </w:tc>
        <w:tc>
          <w:tcPr>
            <w:tcW w:w="18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4"/>
              </w:rPr>
            </w:pPr>
            <w:r>
              <w:rPr>
                <w:rFonts w:hint="eastAsia" w:ascii="仿宋_GB2312" w:hAnsi="仿宋_GB2312" w:eastAsia="仿宋_GB2312" w:cs="仿宋_GB2312"/>
                <w:color w:val="000000"/>
                <w:kern w:val="0"/>
                <w:sz w:val="24"/>
              </w:rPr>
              <w:t>信息技术</w:t>
            </w:r>
          </w:p>
        </w:tc>
        <w:tc>
          <w:tcPr>
            <w:tcW w:w="4961"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依据《中等职业学校信息技术课程标准（2020年版）》开设，使学生掌握必备的计算机应用基础知识和基本技能，培养学生应用计算机解决工作与生活中实际问题的能力；使学生初步具有应用计算机学习的能力，为其职业生涯发展和终身学习奠定基础；提升学生的信息素养，使学生了解并遵守相关法律法规、信息道德及信息安全准则，培养学生成为信息社会的合格公民。</w:t>
            </w:r>
          </w:p>
        </w:tc>
        <w:tc>
          <w:tcPr>
            <w:tcW w:w="11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11</w:t>
            </w:r>
          </w:p>
        </w:tc>
        <w:tc>
          <w:tcPr>
            <w:tcW w:w="1885" w:type="dxa"/>
            <w:tcBorders>
              <w:top w:val="single" w:color="auto" w:sz="4" w:space="0"/>
              <w:left w:val="single" w:color="auto" w:sz="4" w:space="0"/>
              <w:bottom w:val="single" w:color="auto" w:sz="4" w:space="0"/>
              <w:right w:val="single" w:color="auto" w:sz="4" w:space="0"/>
            </w:tcBorders>
            <w:vAlign w:val="center"/>
          </w:tcPr>
          <w:p>
            <w:pPr>
              <w:widowControl/>
              <w:spacing w:beforeLines="20" w:afterLines="20"/>
              <w:jc w:val="left"/>
              <w:rPr>
                <w:rFonts w:ascii="仿宋_GB2312" w:hAnsi="仿宋_GB2312" w:eastAsia="仿宋_GB2312" w:cs="仿宋_GB2312"/>
                <w:color w:val="000000"/>
                <w:kern w:val="0"/>
                <w:sz w:val="24"/>
              </w:rPr>
            </w:pPr>
            <w:r>
              <w:rPr>
                <w:rFonts w:hint="eastAsia" w:ascii="仿宋_GB2312" w:hAnsi="仿宋_GB2312" w:eastAsia="仿宋_GB2312" w:cs="仿宋_GB2312"/>
                <w:kern w:val="0"/>
                <w:sz w:val="24"/>
              </w:rPr>
              <w:t>中国特色社会主义</w:t>
            </w:r>
          </w:p>
        </w:tc>
        <w:tc>
          <w:tcPr>
            <w:tcW w:w="4961" w:type="dxa"/>
            <w:tcBorders>
              <w:top w:val="single" w:color="auto" w:sz="4" w:space="0"/>
              <w:left w:val="single" w:color="auto" w:sz="4" w:space="0"/>
              <w:bottom w:val="single" w:color="auto" w:sz="4" w:space="0"/>
              <w:right w:val="single" w:color="auto" w:sz="4" w:space="0"/>
            </w:tcBorders>
            <w:vAlign w:val="center"/>
          </w:tcPr>
          <w:p>
            <w:pPr>
              <w:widowControl/>
              <w:spacing w:beforeLines="20" w:afterLines="20"/>
              <w:jc w:val="left"/>
              <w:rPr>
                <w:rFonts w:ascii="仿宋_GB2312" w:hAnsi="仿宋_GB2312" w:eastAsia="仿宋_GB2312" w:cs="仿宋_GB2312"/>
                <w:color w:val="000000"/>
                <w:kern w:val="0"/>
                <w:sz w:val="24"/>
              </w:rPr>
            </w:pPr>
            <w:r>
              <w:rPr>
                <w:rFonts w:hint="eastAsia" w:ascii="仿宋_GB2312" w:hAnsi="仿宋_GB2312" w:eastAsia="仿宋_GB2312" w:cs="仿宋_GB2312"/>
                <w:kern w:val="0"/>
                <w:sz w:val="24"/>
              </w:rPr>
              <w:t>依据</w:t>
            </w:r>
            <w:r>
              <w:rPr>
                <w:rFonts w:hint="eastAsia" w:ascii="仿宋_GB2312" w:hAnsi="仿宋_GB2312" w:eastAsia="仿宋_GB2312" w:cs="仿宋_GB2312"/>
                <w:color w:val="000000"/>
                <w:kern w:val="0"/>
                <w:sz w:val="24"/>
              </w:rPr>
              <w:t>《中等职业学校</w:t>
            </w:r>
            <w:r>
              <w:rPr>
                <w:rFonts w:hint="eastAsia" w:ascii="仿宋_GB2312" w:hAnsi="仿宋_GB2312" w:eastAsia="仿宋_GB2312" w:cs="仿宋_GB2312"/>
                <w:kern w:val="0"/>
                <w:sz w:val="24"/>
              </w:rPr>
              <w:t>中国特色社会主义</w:t>
            </w:r>
            <w:r>
              <w:rPr>
                <w:rFonts w:hint="eastAsia" w:ascii="仿宋_GB2312" w:hAnsi="仿宋_GB2312" w:eastAsia="仿宋_GB2312" w:cs="仿宋_GB2312"/>
                <w:color w:val="000000"/>
                <w:kern w:val="0"/>
                <w:sz w:val="24"/>
              </w:rPr>
              <w:t>课程标准（2020年版）》</w:t>
            </w:r>
            <w:r>
              <w:rPr>
                <w:rFonts w:hint="eastAsia" w:ascii="仿宋_GB2312" w:hAnsi="仿宋_GB2312" w:eastAsia="仿宋_GB2312" w:cs="仿宋_GB2312"/>
                <w:kern w:val="0"/>
                <w:sz w:val="24"/>
              </w:rPr>
              <w:t>开设， 并与专业实际行业发展密切结合。</w:t>
            </w:r>
          </w:p>
        </w:tc>
        <w:tc>
          <w:tcPr>
            <w:tcW w:w="1180" w:type="dxa"/>
            <w:tcBorders>
              <w:top w:val="single" w:color="auto" w:sz="4" w:space="0"/>
              <w:left w:val="single" w:color="auto" w:sz="4" w:space="0"/>
              <w:bottom w:val="single" w:color="auto" w:sz="4" w:space="0"/>
              <w:right w:val="single" w:color="auto" w:sz="4" w:space="0"/>
            </w:tcBorders>
            <w:vAlign w:val="center"/>
          </w:tcPr>
          <w:p>
            <w:pPr>
              <w:widowControl/>
              <w:spacing w:beforeLines="20" w:afterLines="20"/>
              <w:ind w:firstLine="360" w:firstLineChars="150"/>
              <w:jc w:val="left"/>
              <w:rPr>
                <w:rFonts w:ascii="仿宋_GB2312" w:hAnsi="仿宋_GB2312" w:eastAsia="仿宋_GB2312" w:cs="仿宋_GB2312"/>
                <w:color w:val="000000"/>
                <w:kern w:val="0"/>
                <w:sz w:val="24"/>
              </w:rPr>
            </w:pPr>
            <w:r>
              <w:rPr>
                <w:rFonts w:hint="eastAsia" w:ascii="仿宋_GB2312" w:hAnsi="仿宋_GB2312" w:eastAsia="仿宋_GB2312" w:cs="仿宋_GB2312"/>
                <w:kern w:val="0"/>
                <w:sz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w:t>
            </w:r>
          </w:p>
        </w:tc>
        <w:tc>
          <w:tcPr>
            <w:tcW w:w="188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劳动教育</w:t>
            </w:r>
          </w:p>
        </w:tc>
        <w:tc>
          <w:tcPr>
            <w:tcW w:w="4961" w:type="dxa"/>
            <w:tcBorders>
              <w:top w:val="single" w:color="auto" w:sz="4" w:space="0"/>
              <w:left w:val="single" w:color="auto" w:sz="4" w:space="0"/>
              <w:bottom w:val="single" w:color="auto" w:sz="4" w:space="0"/>
              <w:right w:val="single" w:color="auto" w:sz="4" w:space="0"/>
            </w:tcBorders>
            <w:vAlign w:val="center"/>
          </w:tcPr>
          <w:p>
            <w:pPr>
              <w:pStyle w:val="11"/>
              <w:spacing w:beforeLines="20" w:beforeAutospacing="0" w:afterLines="20" w:afterAutospacing="0"/>
              <w:rPr>
                <w:rFonts w:ascii="仿宋_GB2312" w:hAnsi="仿宋_GB2312" w:eastAsia="仿宋_GB2312" w:cs="仿宋_GB2312"/>
                <w:color w:val="000000"/>
              </w:rPr>
            </w:pPr>
            <w:r>
              <w:rPr>
                <w:rFonts w:hint="eastAsia" w:ascii="仿宋_GB2312" w:hAnsi="仿宋_GB2312" w:eastAsia="仿宋_GB2312" w:cs="仿宋_GB2312"/>
                <w:color w:val="000000"/>
              </w:rPr>
              <w:t>依据《中等职业学校劳动教育教学大纲》开设，并与专业实际和行业发展密切结合</w:t>
            </w:r>
          </w:p>
        </w:tc>
        <w:tc>
          <w:tcPr>
            <w:tcW w:w="11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18</w:t>
            </w:r>
          </w:p>
        </w:tc>
      </w:tr>
    </w:tbl>
    <w:p>
      <w:pPr>
        <w:spacing w:beforeLines="50" w:afterLines="50" w:line="560" w:lineRule="exact"/>
        <w:ind w:firstLine="964" w:firstLineChars="300"/>
        <w:rPr>
          <w:rFonts w:ascii="楷体" w:hAnsi="楷体" w:eastAsia="楷体"/>
          <w:b/>
          <w:bCs/>
          <w:color w:val="000000"/>
          <w:sz w:val="32"/>
          <w:szCs w:val="32"/>
          <w:lang w:bidi="en-US"/>
        </w:rPr>
      </w:pPr>
      <w:r>
        <w:rPr>
          <w:rFonts w:hint="eastAsia" w:ascii="楷体" w:hAnsi="楷体" w:eastAsia="楷体"/>
          <w:b/>
          <w:bCs/>
          <w:color w:val="000000"/>
          <w:sz w:val="32"/>
          <w:szCs w:val="32"/>
          <w:lang w:bidi="en-US"/>
        </w:rPr>
        <w:t>（二）专业（技能）课程</w:t>
      </w:r>
    </w:p>
    <w:p>
      <w:pPr>
        <w:widowControl/>
        <w:spacing w:beforeLines="20" w:afterLines="20" w:line="300" w:lineRule="exact"/>
        <w:ind w:firstLine="960" w:firstLineChars="300"/>
        <w:textAlignment w:val="baseline"/>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1.专业核心课</w:t>
      </w:r>
    </w:p>
    <w:tbl>
      <w:tblPr>
        <w:tblStyle w:val="13"/>
        <w:tblW w:w="8028" w:type="dxa"/>
        <w:jc w:val="center"/>
        <w:tblLayout w:type="autofit"/>
        <w:tblCellMar>
          <w:top w:w="0" w:type="dxa"/>
          <w:left w:w="10" w:type="dxa"/>
          <w:bottom w:w="0" w:type="dxa"/>
          <w:right w:w="10" w:type="dxa"/>
        </w:tblCellMar>
      </w:tblPr>
      <w:tblGrid>
        <w:gridCol w:w="995"/>
        <w:gridCol w:w="1630"/>
        <w:gridCol w:w="4161"/>
        <w:gridCol w:w="1242"/>
      </w:tblGrid>
      <w:tr>
        <w:tblPrEx>
          <w:tblCellMar>
            <w:top w:w="0" w:type="dxa"/>
            <w:left w:w="10" w:type="dxa"/>
            <w:bottom w:w="0" w:type="dxa"/>
            <w:right w:w="10" w:type="dxa"/>
          </w:tblCellMar>
        </w:tblPrEx>
        <w:trPr>
          <w:trHeight w:val="510" w:hRule="exact"/>
          <w:jc w:val="center"/>
        </w:trPr>
        <w:tc>
          <w:tcPr>
            <w:tcW w:w="995" w:type="dxa"/>
            <w:tcBorders>
              <w:top w:val="single" w:color="auto" w:sz="4" w:space="0"/>
              <w:left w:val="single" w:color="auto" w:sz="4" w:space="0"/>
            </w:tcBorders>
            <w:shd w:val="clear" w:color="auto" w:fill="FFFFFF"/>
            <w:vAlign w:val="center"/>
          </w:tcPr>
          <w:p>
            <w:pPr>
              <w:widowControl/>
              <w:spacing w:beforeLines="20" w:afterLines="20" w:line="300" w:lineRule="exact"/>
              <w:jc w:val="center"/>
              <w:textAlignment w:val="baseline"/>
              <w:rPr>
                <w:rFonts w:ascii="仿宋_GB2312" w:hAnsi="仿宋_GB2312" w:eastAsia="仿宋_GB2312" w:cs="仿宋_GB2312"/>
                <w:b/>
                <w:bCs/>
                <w:sz w:val="28"/>
                <w:szCs w:val="28"/>
              </w:rPr>
            </w:pPr>
            <w:bookmarkStart w:id="8" w:name="_Hlk93259883"/>
            <w:r>
              <w:rPr>
                <w:rFonts w:hint="eastAsia" w:ascii="仿宋_GB2312" w:hAnsi="仿宋_GB2312" w:eastAsia="仿宋_GB2312" w:cs="仿宋_GB2312"/>
                <w:b/>
                <w:bCs/>
                <w:sz w:val="28"/>
                <w:szCs w:val="28"/>
              </w:rPr>
              <w:t>序号</w:t>
            </w:r>
          </w:p>
        </w:tc>
        <w:tc>
          <w:tcPr>
            <w:tcW w:w="1630" w:type="dxa"/>
            <w:tcBorders>
              <w:top w:val="single" w:color="auto" w:sz="4" w:space="0"/>
              <w:left w:val="single" w:color="auto" w:sz="4" w:space="0"/>
            </w:tcBorders>
            <w:shd w:val="clear" w:color="auto" w:fill="FFFFFF"/>
            <w:vAlign w:val="center"/>
          </w:tcPr>
          <w:p>
            <w:pPr>
              <w:widowControl/>
              <w:spacing w:beforeLines="20" w:afterLines="20" w:line="300" w:lineRule="exact"/>
              <w:jc w:val="center"/>
              <w:textAlignment w:val="baseline"/>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课程名称</w:t>
            </w:r>
          </w:p>
        </w:tc>
        <w:tc>
          <w:tcPr>
            <w:tcW w:w="4161" w:type="dxa"/>
            <w:tcBorders>
              <w:top w:val="single" w:color="auto" w:sz="4" w:space="0"/>
              <w:left w:val="single" w:color="auto" w:sz="4" w:space="0"/>
            </w:tcBorders>
            <w:shd w:val="clear" w:color="auto" w:fill="FFFFFF"/>
            <w:vAlign w:val="center"/>
          </w:tcPr>
          <w:p>
            <w:pPr>
              <w:widowControl/>
              <w:spacing w:beforeLines="20" w:afterLines="20" w:line="300" w:lineRule="exact"/>
              <w:jc w:val="center"/>
              <w:textAlignment w:val="baseline"/>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主要教学内容和要求</w:t>
            </w:r>
          </w:p>
        </w:tc>
        <w:tc>
          <w:tcPr>
            <w:tcW w:w="1242" w:type="dxa"/>
            <w:tcBorders>
              <w:top w:val="single" w:color="auto" w:sz="4" w:space="0"/>
              <w:left w:val="single" w:color="auto" w:sz="4" w:space="0"/>
              <w:right w:val="single" w:color="auto" w:sz="4" w:space="0"/>
            </w:tcBorders>
            <w:shd w:val="clear" w:color="auto" w:fill="FFFFFF"/>
            <w:vAlign w:val="center"/>
          </w:tcPr>
          <w:p>
            <w:pPr>
              <w:widowControl/>
              <w:spacing w:beforeLines="20" w:afterLines="20" w:line="300" w:lineRule="exact"/>
              <w:jc w:val="center"/>
              <w:textAlignment w:val="baseline"/>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参考学时</w:t>
            </w:r>
          </w:p>
        </w:tc>
      </w:tr>
      <w:tr>
        <w:tblPrEx>
          <w:tblCellMar>
            <w:top w:w="0" w:type="dxa"/>
            <w:left w:w="10" w:type="dxa"/>
            <w:bottom w:w="0" w:type="dxa"/>
            <w:right w:w="10" w:type="dxa"/>
          </w:tblCellMar>
        </w:tblPrEx>
        <w:trPr>
          <w:trHeight w:val="2027" w:hRule="exact"/>
          <w:jc w:val="center"/>
        </w:trPr>
        <w:tc>
          <w:tcPr>
            <w:tcW w:w="995" w:type="dxa"/>
            <w:tcBorders>
              <w:top w:val="single" w:color="auto" w:sz="4" w:space="0"/>
              <w:left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630" w:type="dxa"/>
            <w:tcBorders>
              <w:top w:val="single" w:color="auto" w:sz="4" w:space="0"/>
              <w:left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幼儿心理学</w:t>
            </w:r>
          </w:p>
        </w:tc>
        <w:tc>
          <w:tcPr>
            <w:tcW w:w="4161" w:type="dxa"/>
            <w:tcBorders>
              <w:top w:val="single" w:color="auto" w:sz="4" w:space="0"/>
              <w:left w:val="single" w:color="auto" w:sz="4" w:space="0"/>
            </w:tcBorders>
            <w:shd w:val="clear" w:color="auto"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了解从事幼儿教育工作所必需的心理学基本理论、基本知识和基本方法；初步掌握运用学前心理学知识去分析和解决在教育幼儿过程中所遇到的实际问题的能力；培养热爱幼儿，对幼儿教育工作有浓厚兴趣</w:t>
            </w:r>
          </w:p>
        </w:tc>
        <w:tc>
          <w:tcPr>
            <w:tcW w:w="1242" w:type="dxa"/>
            <w:tcBorders>
              <w:top w:val="single" w:color="auto" w:sz="4" w:space="0"/>
              <w:left w:val="single" w:color="auto" w:sz="4" w:space="0"/>
              <w:right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72</w:t>
            </w:r>
          </w:p>
        </w:tc>
      </w:tr>
      <w:tr>
        <w:tblPrEx>
          <w:tblCellMar>
            <w:top w:w="0" w:type="dxa"/>
            <w:left w:w="10" w:type="dxa"/>
            <w:bottom w:w="0" w:type="dxa"/>
            <w:right w:w="10" w:type="dxa"/>
          </w:tblCellMar>
        </w:tblPrEx>
        <w:trPr>
          <w:trHeight w:val="1832"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630" w:type="dxa"/>
            <w:tcBorders>
              <w:top w:val="single" w:color="auto" w:sz="4" w:space="0"/>
              <w:left w:val="single" w:color="auto" w:sz="4" w:space="0"/>
              <w:bottom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婴幼儿保教基础</w:t>
            </w:r>
          </w:p>
        </w:tc>
        <w:tc>
          <w:tcPr>
            <w:tcW w:w="4161" w:type="dxa"/>
            <w:tcBorders>
              <w:top w:val="single" w:color="auto" w:sz="4" w:space="0"/>
              <w:left w:val="single" w:color="auto" w:sz="4" w:space="0"/>
              <w:bottom w:val="single" w:color="auto" w:sz="4" w:space="0"/>
            </w:tcBorders>
            <w:shd w:val="clear" w:color="auto"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了解婴幼儿保育与教育概述、婴幼儿保育与教育的理论基础、婴幼儿的身心发展特点、不同年龄阶段婴幼儿的保育与教育、婴幼儿保教机构的运行与管理、特</w:t>
            </w:r>
            <w:r>
              <w:rPr>
                <w:rFonts w:hint="eastAsia" w:ascii="宋体" w:hAnsi="宋体" w:cs="宋体"/>
                <w:color w:val="000000"/>
                <w:kern w:val="0"/>
                <w:sz w:val="24"/>
              </w:rPr>
              <w:t>殊</w:t>
            </w:r>
            <w:r>
              <w:rPr>
                <w:rFonts w:hint="eastAsia" w:ascii="仿宋_GB2312" w:hAnsi="仿宋_GB2312" w:eastAsia="仿宋_GB2312" w:cs="仿宋_GB2312"/>
                <w:color w:val="000000"/>
                <w:kern w:val="0"/>
                <w:sz w:val="24"/>
              </w:rPr>
              <w:t>儿童的识别与教育</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72</w:t>
            </w:r>
          </w:p>
        </w:tc>
      </w:tr>
      <w:tr>
        <w:tblPrEx>
          <w:tblCellMar>
            <w:top w:w="0" w:type="dxa"/>
            <w:left w:w="10" w:type="dxa"/>
            <w:bottom w:w="0" w:type="dxa"/>
            <w:right w:w="10" w:type="dxa"/>
          </w:tblCellMar>
        </w:tblPrEx>
        <w:trPr>
          <w:trHeight w:val="1407"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w:t>
            </w:r>
          </w:p>
        </w:tc>
        <w:tc>
          <w:tcPr>
            <w:tcW w:w="1630" w:type="dxa"/>
            <w:tcBorders>
              <w:top w:val="single" w:color="auto" w:sz="4" w:space="0"/>
              <w:left w:val="single" w:color="auto" w:sz="4" w:space="0"/>
              <w:bottom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婴幼儿卫生与保健</w:t>
            </w:r>
          </w:p>
        </w:tc>
        <w:tc>
          <w:tcPr>
            <w:tcW w:w="4161" w:type="dxa"/>
            <w:tcBorders>
              <w:top w:val="single" w:color="auto" w:sz="4" w:space="0"/>
              <w:left w:val="single" w:color="auto" w:sz="4" w:space="0"/>
              <w:bottom w:val="single" w:color="auto" w:sz="4" w:space="0"/>
            </w:tcBorders>
            <w:shd w:val="clear" w:color="auto"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掌握婴幼儿生理、生长发育规律及健康评价，掌握幼儿园所需营养的相关知识并了解托幼机构的膳食管理，熟悉幼儿常见疾病及心理卫生问题的基础知识。</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72</w:t>
            </w:r>
          </w:p>
        </w:tc>
      </w:tr>
      <w:tr>
        <w:tblPrEx>
          <w:tblCellMar>
            <w:top w:w="0" w:type="dxa"/>
            <w:left w:w="10" w:type="dxa"/>
            <w:bottom w:w="0" w:type="dxa"/>
            <w:right w:w="10" w:type="dxa"/>
          </w:tblCellMar>
        </w:tblPrEx>
        <w:trPr>
          <w:trHeight w:val="1979"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ascii="仿宋_GB2312" w:hAnsi="仿宋_GB2312" w:eastAsia="仿宋_GB2312" w:cs="仿宋_GB2312"/>
                <w:color w:val="000000"/>
                <w:kern w:val="0"/>
                <w:sz w:val="24"/>
              </w:rPr>
              <w:t>4</w:t>
            </w:r>
          </w:p>
        </w:tc>
        <w:tc>
          <w:tcPr>
            <w:tcW w:w="1630" w:type="dxa"/>
            <w:tcBorders>
              <w:top w:val="single" w:color="auto" w:sz="4" w:space="0"/>
              <w:left w:val="single" w:color="auto" w:sz="4" w:space="0"/>
              <w:bottom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幼儿园保育实务</w:t>
            </w:r>
          </w:p>
        </w:tc>
        <w:tc>
          <w:tcPr>
            <w:tcW w:w="4161" w:type="dxa"/>
            <w:tcBorders>
              <w:top w:val="single" w:color="auto" w:sz="4" w:space="0"/>
              <w:left w:val="single" w:color="auto" w:sz="4" w:space="0"/>
              <w:bottom w:val="single" w:color="auto" w:sz="4" w:space="0"/>
            </w:tcBorders>
            <w:shd w:val="clear" w:color="auto"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了解托幼园所保教工作目标与任务；掌握保育工作主要内容与基本形式；掌握与婴幼儿、同事、家长、社区交往基本沟通技巧，能配合托幼园所参与家园和社区合作共育；能规范填写保育工作记录和文档。</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72</w:t>
            </w:r>
          </w:p>
        </w:tc>
      </w:tr>
      <w:tr>
        <w:tblPrEx>
          <w:tblCellMar>
            <w:top w:w="0" w:type="dxa"/>
            <w:left w:w="10" w:type="dxa"/>
            <w:bottom w:w="0" w:type="dxa"/>
            <w:right w:w="10" w:type="dxa"/>
          </w:tblCellMar>
        </w:tblPrEx>
        <w:trPr>
          <w:trHeight w:val="2957"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ascii="仿宋_GB2312" w:hAnsi="仿宋_GB2312" w:eastAsia="仿宋_GB2312" w:cs="仿宋_GB2312"/>
                <w:color w:val="000000"/>
                <w:kern w:val="0"/>
                <w:sz w:val="24"/>
              </w:rPr>
              <w:t>5</w:t>
            </w:r>
          </w:p>
        </w:tc>
        <w:tc>
          <w:tcPr>
            <w:tcW w:w="1630" w:type="dxa"/>
            <w:tcBorders>
              <w:top w:val="single" w:color="auto" w:sz="4" w:space="0"/>
              <w:left w:val="single" w:color="auto" w:sz="4" w:space="0"/>
              <w:bottom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婴幼儿身心发展及保育</w:t>
            </w:r>
          </w:p>
        </w:tc>
        <w:tc>
          <w:tcPr>
            <w:tcW w:w="4161" w:type="dxa"/>
            <w:tcBorders>
              <w:top w:val="single" w:color="auto" w:sz="4" w:space="0"/>
              <w:left w:val="single" w:color="auto" w:sz="4" w:space="0"/>
              <w:bottom w:val="single" w:color="auto" w:sz="4" w:space="0"/>
            </w:tcBorders>
            <w:shd w:val="clear" w:color="auto"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了解婴幼儿身心发展的规律、特点和促进婴幼儿身心发展的重要意义；能理解婴幼儿生理特点和发展规律；能解释婴幼儿心理发展过程、发展；规律及保育要求；概述婴幼儿各敏感期的主要表现；能对敏感期典型案例进行梳理解析；能对婴幼儿敏感期采取相应的保育措施；能将婴幼儿身心发展知识，与实际保育工作结合，不断反思改进保育措施。</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72</w:t>
            </w:r>
          </w:p>
        </w:tc>
      </w:tr>
      <w:tr>
        <w:tblPrEx>
          <w:tblCellMar>
            <w:top w:w="0" w:type="dxa"/>
            <w:left w:w="10" w:type="dxa"/>
            <w:bottom w:w="0" w:type="dxa"/>
            <w:right w:w="10" w:type="dxa"/>
          </w:tblCellMar>
        </w:tblPrEx>
        <w:trPr>
          <w:trHeight w:val="2971"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ascii="仿宋_GB2312" w:hAnsi="仿宋_GB2312" w:eastAsia="仿宋_GB2312" w:cs="仿宋_GB2312"/>
                <w:color w:val="000000"/>
                <w:kern w:val="0"/>
                <w:sz w:val="24"/>
              </w:rPr>
              <w:t>6</w:t>
            </w:r>
          </w:p>
        </w:tc>
        <w:tc>
          <w:tcPr>
            <w:tcW w:w="1630" w:type="dxa"/>
            <w:tcBorders>
              <w:top w:val="single" w:color="auto" w:sz="4" w:space="0"/>
              <w:left w:val="single" w:color="auto" w:sz="4" w:space="0"/>
              <w:bottom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婴幼儿健康照护</w:t>
            </w:r>
          </w:p>
        </w:tc>
        <w:tc>
          <w:tcPr>
            <w:tcW w:w="4161" w:type="dxa"/>
            <w:tcBorders>
              <w:top w:val="single" w:color="auto" w:sz="4" w:space="0"/>
              <w:left w:val="single" w:color="auto" w:sz="4" w:space="0"/>
              <w:bottom w:val="single" w:color="auto" w:sz="4" w:space="0"/>
            </w:tcBorders>
            <w:shd w:val="clear" w:color="auto"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掌握婴幼儿生长发育的规律和正常指标及个体差异，能观察、记录与评估婴幼儿身体发育状况，能做好日常健康管理;能运用基本操作技能正确照护婴幼儿，对婴幼儿进行分类健康管理;掌握五官保健知识，能初步识别与应对婴幼儿五官常见病症；了解婴幼儿常见病症及特点，能初步识别其症状，会采取科学合理的预防和应对措施。</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72</w:t>
            </w:r>
          </w:p>
        </w:tc>
      </w:tr>
      <w:tr>
        <w:tblPrEx>
          <w:tblCellMar>
            <w:top w:w="0" w:type="dxa"/>
            <w:left w:w="10" w:type="dxa"/>
            <w:bottom w:w="0" w:type="dxa"/>
            <w:right w:w="10" w:type="dxa"/>
          </w:tblCellMar>
        </w:tblPrEx>
        <w:trPr>
          <w:trHeight w:val="2683"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ascii="仿宋_GB2312" w:hAnsi="仿宋_GB2312" w:eastAsia="仿宋_GB2312" w:cs="仿宋_GB2312"/>
                <w:color w:val="000000"/>
                <w:kern w:val="0"/>
                <w:sz w:val="24"/>
              </w:rPr>
              <w:t>7</w:t>
            </w:r>
          </w:p>
        </w:tc>
        <w:tc>
          <w:tcPr>
            <w:tcW w:w="1630" w:type="dxa"/>
            <w:tcBorders>
              <w:top w:val="single" w:color="auto" w:sz="4" w:space="0"/>
              <w:left w:val="single" w:color="auto" w:sz="4" w:space="0"/>
              <w:bottom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婴幼儿行为观察与引导</w:t>
            </w:r>
          </w:p>
        </w:tc>
        <w:tc>
          <w:tcPr>
            <w:tcW w:w="4161" w:type="dxa"/>
            <w:tcBorders>
              <w:top w:val="single" w:color="auto" w:sz="4" w:space="0"/>
              <w:left w:val="single" w:color="auto" w:sz="4" w:space="0"/>
              <w:bottom w:val="single" w:color="auto" w:sz="4" w:space="0"/>
            </w:tcBorders>
            <w:shd w:val="clear" w:color="auto"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了解婴幼儿行为观察的内涵、意义和原则;能概述婴幼儿行为观察的目的、种类和工具、方法;能根据观察目的收集观察信息，并规范填写观察记录;能概述婴幼儿适宜行为和偏差型行为的内涵、特征和基本判断标准;能识别并分析幼儿偏差行为，并模拟运用合适的方法与策略，改善幼儿的偏差行为。</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72</w:t>
            </w:r>
          </w:p>
        </w:tc>
      </w:tr>
      <w:tr>
        <w:tblPrEx>
          <w:tblCellMar>
            <w:top w:w="0" w:type="dxa"/>
            <w:left w:w="10" w:type="dxa"/>
            <w:bottom w:w="0" w:type="dxa"/>
            <w:right w:w="10" w:type="dxa"/>
          </w:tblCellMar>
        </w:tblPrEx>
        <w:trPr>
          <w:trHeight w:val="2258"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ascii="仿宋_GB2312" w:hAnsi="仿宋_GB2312" w:eastAsia="仿宋_GB2312" w:cs="仿宋_GB2312"/>
                <w:color w:val="000000"/>
                <w:kern w:val="0"/>
                <w:sz w:val="24"/>
              </w:rPr>
              <w:t>8</w:t>
            </w:r>
          </w:p>
        </w:tc>
        <w:tc>
          <w:tcPr>
            <w:tcW w:w="1630" w:type="dxa"/>
            <w:tcBorders>
              <w:top w:val="single" w:color="auto" w:sz="4" w:space="0"/>
              <w:left w:val="single" w:color="auto" w:sz="4" w:space="0"/>
              <w:bottom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婴幼儿营养与护理</w:t>
            </w:r>
          </w:p>
        </w:tc>
        <w:tc>
          <w:tcPr>
            <w:tcW w:w="4161" w:type="dxa"/>
            <w:tcBorders>
              <w:top w:val="single" w:color="auto" w:sz="4" w:space="0"/>
              <w:left w:val="single" w:color="auto" w:sz="4" w:space="0"/>
              <w:bottom w:val="single" w:color="auto" w:sz="4" w:space="0"/>
            </w:tcBorders>
            <w:shd w:val="clear" w:color="auto" w:fill="FFFFFF"/>
            <w:vAlign w:val="center"/>
          </w:tcPr>
          <w:p>
            <w:pPr>
              <w:jc w:val="left"/>
              <w:rPr>
                <w:rFonts w:ascii="仿宋" w:hAnsi="仿宋" w:eastAsia="仿宋" w:cs="仿宋_GB2312"/>
                <w:color w:val="000000"/>
                <w:kern w:val="0"/>
                <w:sz w:val="24"/>
              </w:rPr>
            </w:pPr>
            <w:r>
              <w:rPr>
                <w:rFonts w:hint="eastAsia" w:ascii="仿宋" w:hAnsi="仿宋" w:eastAsia="仿宋" w:cs="仿宋_GB2312"/>
                <w:color w:val="000000"/>
                <w:kern w:val="0"/>
                <w:sz w:val="24"/>
              </w:rPr>
              <w:t>了解婴幼儿膳食营养的重要性与健康的关系、婴幼儿营养要求、婴幼儿膳食营养的三个关键、婴幼儿食</w:t>
            </w:r>
            <w:r>
              <w:rPr>
                <w:rFonts w:hint="eastAsia" w:ascii="仿宋" w:hAnsi="仿宋" w:eastAsia="仿宋" w:cs="宋体"/>
                <w:color w:val="000000"/>
                <w:kern w:val="0"/>
                <w:sz w:val="24"/>
              </w:rPr>
              <w:t>物</w:t>
            </w:r>
            <w:r>
              <w:rPr>
                <w:rFonts w:hint="eastAsia" w:ascii="仿宋" w:hAnsi="仿宋" w:eastAsia="仿宋" w:cs="___WRD_EMBED_SUB_48"/>
                <w:color w:val="000000"/>
                <w:kern w:val="0"/>
                <w:sz w:val="24"/>
              </w:rPr>
              <w:t>选择的基本原则、婴幼儿</w:t>
            </w:r>
            <w:r>
              <w:rPr>
                <w:rFonts w:hint="eastAsia" w:ascii="仿宋" w:hAnsi="仿宋" w:eastAsia="仿宋" w:cs="宋体"/>
                <w:color w:val="000000"/>
                <w:kern w:val="0"/>
                <w:sz w:val="24"/>
              </w:rPr>
              <w:t>饮</w:t>
            </w:r>
            <w:r>
              <w:rPr>
                <w:rFonts w:hint="eastAsia" w:ascii="仿宋" w:hAnsi="仿宋" w:eastAsia="仿宋" w:cs="___WRD_EMBED_SUB_48"/>
                <w:color w:val="000000"/>
                <w:kern w:val="0"/>
                <w:sz w:val="24"/>
              </w:rPr>
              <w:t>食的基本要求、婴幼儿膳食营养中常见</w:t>
            </w:r>
            <w:r>
              <w:rPr>
                <w:rFonts w:hint="eastAsia" w:ascii="仿宋" w:hAnsi="仿宋" w:eastAsia="仿宋" w:cs="宋体"/>
                <w:color w:val="000000"/>
                <w:kern w:val="0"/>
                <w:sz w:val="24"/>
              </w:rPr>
              <w:t>误</w:t>
            </w:r>
            <w:r>
              <w:rPr>
                <w:rFonts w:hint="eastAsia" w:ascii="仿宋" w:hAnsi="仿宋" w:eastAsia="仿宋" w:cs="___WRD_EMBED_SUB_48"/>
                <w:color w:val="000000"/>
                <w:kern w:val="0"/>
                <w:sz w:val="24"/>
              </w:rPr>
              <w:t>区、婴幼儿的健</w:t>
            </w:r>
            <w:r>
              <w:rPr>
                <w:rFonts w:hint="eastAsia" w:ascii="仿宋" w:hAnsi="仿宋" w:eastAsia="仿宋" w:cs="宋体"/>
                <w:color w:val="000000"/>
                <w:kern w:val="0"/>
                <w:sz w:val="24"/>
              </w:rPr>
              <w:t>脑</w:t>
            </w:r>
            <w:r>
              <w:rPr>
                <w:rFonts w:hint="eastAsia" w:ascii="仿宋" w:hAnsi="仿宋" w:eastAsia="仿宋" w:cs="___WRD_EMBED_SUB_48"/>
                <w:color w:val="000000"/>
                <w:kern w:val="0"/>
                <w:sz w:val="24"/>
              </w:rPr>
              <w:t>食</w:t>
            </w:r>
            <w:r>
              <w:rPr>
                <w:rFonts w:hint="eastAsia" w:ascii="仿宋" w:hAnsi="仿宋" w:eastAsia="仿宋" w:cs="宋体"/>
                <w:color w:val="000000"/>
                <w:kern w:val="0"/>
                <w:sz w:val="24"/>
              </w:rPr>
              <w:t>物</w:t>
            </w:r>
            <w:r>
              <w:rPr>
                <w:rFonts w:hint="eastAsia" w:ascii="仿宋" w:hAnsi="仿宋" w:eastAsia="仿宋" w:cs="___WRD_EMBED_SUB_48"/>
                <w:color w:val="000000"/>
                <w:kern w:val="0"/>
                <w:sz w:val="24"/>
              </w:rPr>
              <w:t>等</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72</w:t>
            </w:r>
          </w:p>
        </w:tc>
      </w:tr>
      <w:bookmarkEnd w:id="8"/>
    </w:tbl>
    <w:p>
      <w:pPr>
        <w:widowControl/>
        <w:spacing w:line="480" w:lineRule="exact"/>
        <w:ind w:right="42" w:rightChars="20"/>
        <w:rPr>
          <w:rFonts w:ascii="仿宋_GB2312" w:hAnsi="仿宋_GB2312" w:eastAsia="仿宋_GB2312" w:cs="仿宋_GB2312"/>
          <w:b/>
          <w:bCs/>
          <w:sz w:val="32"/>
          <w:szCs w:val="32"/>
        </w:rPr>
      </w:pPr>
    </w:p>
    <w:p>
      <w:pPr>
        <w:widowControl/>
        <w:spacing w:line="480" w:lineRule="exact"/>
        <w:ind w:right="42" w:rightChars="20"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w:t>
      </w:r>
      <w:r>
        <w:rPr>
          <w:rFonts w:ascii="仿宋_GB2312" w:hAnsi="仿宋_GB2312" w:eastAsia="仿宋_GB2312" w:cs="仿宋_GB2312"/>
          <w:bCs/>
          <w:sz w:val="32"/>
          <w:szCs w:val="32"/>
        </w:rPr>
        <w:t>.</w:t>
      </w:r>
      <w:r>
        <w:rPr>
          <w:rFonts w:hint="eastAsia" w:ascii="仿宋_GB2312" w:hAnsi="仿宋_GB2312" w:eastAsia="仿宋_GB2312" w:cs="仿宋_GB2312"/>
          <w:bCs/>
          <w:sz w:val="32"/>
          <w:szCs w:val="32"/>
        </w:rPr>
        <w:t>专业技能课</w:t>
      </w:r>
    </w:p>
    <w:tbl>
      <w:tblPr>
        <w:tblStyle w:val="13"/>
        <w:tblW w:w="8028" w:type="dxa"/>
        <w:jc w:val="center"/>
        <w:tblLayout w:type="autofit"/>
        <w:tblCellMar>
          <w:top w:w="0" w:type="dxa"/>
          <w:left w:w="10" w:type="dxa"/>
          <w:bottom w:w="0" w:type="dxa"/>
          <w:right w:w="10" w:type="dxa"/>
        </w:tblCellMar>
      </w:tblPr>
      <w:tblGrid>
        <w:gridCol w:w="995"/>
        <w:gridCol w:w="1630"/>
        <w:gridCol w:w="4161"/>
        <w:gridCol w:w="1242"/>
      </w:tblGrid>
      <w:tr>
        <w:tblPrEx>
          <w:tblCellMar>
            <w:top w:w="0" w:type="dxa"/>
            <w:left w:w="10" w:type="dxa"/>
            <w:bottom w:w="0" w:type="dxa"/>
            <w:right w:w="10" w:type="dxa"/>
          </w:tblCellMar>
        </w:tblPrEx>
        <w:trPr>
          <w:trHeight w:val="510" w:hRule="exact"/>
          <w:jc w:val="center"/>
        </w:trPr>
        <w:tc>
          <w:tcPr>
            <w:tcW w:w="995" w:type="dxa"/>
            <w:tcBorders>
              <w:top w:val="single" w:color="auto" w:sz="4" w:space="0"/>
              <w:left w:val="single" w:color="auto" w:sz="4" w:space="0"/>
            </w:tcBorders>
            <w:shd w:val="clear" w:color="auto" w:fill="FFFFFF"/>
            <w:vAlign w:val="center"/>
          </w:tcPr>
          <w:p>
            <w:pPr>
              <w:widowControl/>
              <w:spacing w:beforeLines="20" w:afterLines="20" w:line="300" w:lineRule="exact"/>
              <w:jc w:val="center"/>
              <w:textAlignment w:val="baseline"/>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序号</w:t>
            </w:r>
          </w:p>
        </w:tc>
        <w:tc>
          <w:tcPr>
            <w:tcW w:w="1630" w:type="dxa"/>
            <w:tcBorders>
              <w:top w:val="single" w:color="auto" w:sz="4" w:space="0"/>
              <w:left w:val="single" w:color="auto" w:sz="4" w:space="0"/>
            </w:tcBorders>
            <w:shd w:val="clear" w:color="auto" w:fill="FFFFFF"/>
            <w:vAlign w:val="center"/>
          </w:tcPr>
          <w:p>
            <w:pPr>
              <w:widowControl/>
              <w:spacing w:beforeLines="20" w:afterLines="20" w:line="300" w:lineRule="exact"/>
              <w:jc w:val="center"/>
              <w:textAlignment w:val="baseline"/>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课程名称</w:t>
            </w:r>
          </w:p>
        </w:tc>
        <w:tc>
          <w:tcPr>
            <w:tcW w:w="4161" w:type="dxa"/>
            <w:tcBorders>
              <w:top w:val="single" w:color="auto" w:sz="4" w:space="0"/>
              <w:left w:val="single" w:color="auto" w:sz="4" w:space="0"/>
            </w:tcBorders>
            <w:shd w:val="clear" w:color="auto" w:fill="FFFFFF"/>
            <w:vAlign w:val="center"/>
          </w:tcPr>
          <w:p>
            <w:pPr>
              <w:widowControl/>
              <w:spacing w:beforeLines="20" w:afterLines="20" w:line="300" w:lineRule="exact"/>
              <w:jc w:val="center"/>
              <w:textAlignment w:val="baseline"/>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主要教学内容和要求</w:t>
            </w:r>
          </w:p>
        </w:tc>
        <w:tc>
          <w:tcPr>
            <w:tcW w:w="1242" w:type="dxa"/>
            <w:tcBorders>
              <w:top w:val="single" w:color="auto" w:sz="4" w:space="0"/>
              <w:left w:val="single" w:color="auto" w:sz="4" w:space="0"/>
              <w:right w:val="single" w:color="auto" w:sz="4" w:space="0"/>
            </w:tcBorders>
            <w:shd w:val="clear" w:color="auto" w:fill="FFFFFF"/>
            <w:vAlign w:val="center"/>
          </w:tcPr>
          <w:p>
            <w:pPr>
              <w:widowControl/>
              <w:spacing w:beforeLines="20" w:afterLines="20" w:line="300" w:lineRule="exact"/>
              <w:jc w:val="center"/>
              <w:textAlignment w:val="baseline"/>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参考学时</w:t>
            </w:r>
          </w:p>
        </w:tc>
      </w:tr>
      <w:tr>
        <w:tblPrEx>
          <w:tblCellMar>
            <w:top w:w="0" w:type="dxa"/>
            <w:left w:w="10" w:type="dxa"/>
            <w:bottom w:w="0" w:type="dxa"/>
            <w:right w:w="10" w:type="dxa"/>
          </w:tblCellMar>
        </w:tblPrEx>
        <w:trPr>
          <w:trHeight w:val="1487"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1</w:t>
            </w:r>
          </w:p>
        </w:tc>
        <w:tc>
          <w:tcPr>
            <w:tcW w:w="1630"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婴幼儿一日生活管理与教育</w:t>
            </w:r>
          </w:p>
        </w:tc>
        <w:tc>
          <w:tcPr>
            <w:tcW w:w="4161" w:type="dxa"/>
            <w:tcBorders>
              <w:top w:val="single" w:color="auto" w:sz="4" w:space="0"/>
              <w:left w:val="single" w:color="auto" w:sz="4" w:space="0"/>
              <w:bottom w:val="single" w:color="auto" w:sz="4" w:space="0"/>
            </w:tcBorders>
            <w:shd w:val="clear" w:color="auto" w:fill="FFFFFF"/>
            <w:vAlign w:val="center"/>
          </w:tcPr>
          <w:p>
            <w:pPr>
              <w:spacing w:beforeLines="20" w:afterLines="20" w:line="300" w:lineRule="exact"/>
              <w:jc w:val="left"/>
              <w:rPr>
                <w:rFonts w:ascii="仿宋" w:hAnsi="仿宋" w:eastAsia="仿宋" w:cs="仿宋_GB2312"/>
                <w:color w:val="000000"/>
                <w:kern w:val="0"/>
                <w:sz w:val="24"/>
              </w:rPr>
            </w:pPr>
            <w:r>
              <w:rPr>
                <w:rFonts w:hint="eastAsia" w:ascii="仿宋" w:hAnsi="仿宋" w:eastAsia="仿宋" w:cs="仿宋_GB2312"/>
                <w:color w:val="000000"/>
                <w:kern w:val="0"/>
                <w:sz w:val="24"/>
              </w:rPr>
              <w:t>了解婴幼儿一日生活的内容以及管理教育策略，熟悉婴幼儿</w:t>
            </w:r>
            <w:r>
              <w:rPr>
                <w:rFonts w:hint="eastAsia" w:ascii="仿宋" w:hAnsi="仿宋" w:eastAsia="仿宋" w:cs="宋体"/>
                <w:color w:val="000000"/>
                <w:kern w:val="0"/>
                <w:sz w:val="24"/>
              </w:rPr>
              <w:t>盥洗</w:t>
            </w:r>
            <w:r>
              <w:rPr>
                <w:rFonts w:hint="eastAsia" w:ascii="仿宋" w:hAnsi="仿宋" w:eastAsia="仿宋" w:cs="___WRD_EMBED_SUB_48"/>
                <w:color w:val="000000"/>
                <w:kern w:val="0"/>
                <w:sz w:val="24"/>
              </w:rPr>
              <w:t>、</w:t>
            </w:r>
            <w:r>
              <w:rPr>
                <w:rFonts w:hint="eastAsia" w:ascii="仿宋" w:hAnsi="仿宋" w:eastAsia="仿宋" w:cs="仿宋_GB2312"/>
                <w:color w:val="000000"/>
                <w:kern w:val="0"/>
                <w:sz w:val="24"/>
              </w:rPr>
              <w:t>进餐、</w:t>
            </w:r>
            <w:r>
              <w:rPr>
                <w:rFonts w:hint="eastAsia" w:ascii="仿宋" w:hAnsi="仿宋" w:eastAsia="仿宋" w:cs="宋体"/>
                <w:color w:val="000000"/>
                <w:kern w:val="0"/>
                <w:sz w:val="24"/>
              </w:rPr>
              <w:t>饮</w:t>
            </w:r>
            <w:r>
              <w:rPr>
                <w:rFonts w:hint="eastAsia" w:ascii="仿宋" w:hAnsi="仿宋" w:eastAsia="仿宋" w:cs="___WRD_EMBED_SUB_48"/>
                <w:color w:val="000000"/>
                <w:kern w:val="0"/>
                <w:sz w:val="24"/>
              </w:rPr>
              <w:t>水、如</w:t>
            </w:r>
            <w:r>
              <w:rPr>
                <w:rFonts w:hint="eastAsia" w:ascii="仿宋" w:hAnsi="仿宋" w:eastAsia="仿宋" w:cs="宋体"/>
                <w:color w:val="000000"/>
                <w:kern w:val="0"/>
                <w:sz w:val="24"/>
              </w:rPr>
              <w:t>厕</w:t>
            </w:r>
            <w:r>
              <w:rPr>
                <w:rFonts w:hint="eastAsia" w:ascii="仿宋" w:hAnsi="仿宋" w:eastAsia="仿宋" w:cs="___WRD_EMBED_SUB_48"/>
                <w:color w:val="000000"/>
                <w:kern w:val="0"/>
                <w:sz w:val="24"/>
              </w:rPr>
              <w:t>、</w:t>
            </w:r>
            <w:r>
              <w:rPr>
                <w:rFonts w:hint="eastAsia" w:ascii="仿宋" w:hAnsi="仿宋" w:eastAsia="仿宋" w:cs="宋体"/>
                <w:color w:val="000000"/>
                <w:kern w:val="0"/>
                <w:sz w:val="24"/>
              </w:rPr>
              <w:t>睡眠</w:t>
            </w:r>
            <w:r>
              <w:rPr>
                <w:rFonts w:hint="eastAsia" w:ascii="仿宋" w:hAnsi="仿宋" w:eastAsia="仿宋" w:cs="___WRD_EMBED_SUB_48"/>
                <w:color w:val="000000"/>
                <w:kern w:val="0"/>
                <w:sz w:val="24"/>
              </w:rPr>
              <w:t>等常规要求、指导管理策略和常见问题与应对。</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7</w:t>
            </w:r>
            <w:r>
              <w:rPr>
                <w:rFonts w:ascii="仿宋_GB2312" w:hAnsi="仿宋_GB2312" w:eastAsia="仿宋_GB2312" w:cs="仿宋_GB2312"/>
                <w:color w:val="000000"/>
              </w:rPr>
              <w:t>2</w:t>
            </w:r>
          </w:p>
        </w:tc>
      </w:tr>
      <w:tr>
        <w:tblPrEx>
          <w:tblCellMar>
            <w:top w:w="0" w:type="dxa"/>
            <w:left w:w="10" w:type="dxa"/>
            <w:bottom w:w="0" w:type="dxa"/>
            <w:right w:w="10" w:type="dxa"/>
          </w:tblCellMar>
        </w:tblPrEx>
        <w:trPr>
          <w:trHeight w:val="1552"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2</w:t>
            </w:r>
          </w:p>
        </w:tc>
        <w:tc>
          <w:tcPr>
            <w:tcW w:w="1630"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幼儿园活动设计与实践</w:t>
            </w:r>
          </w:p>
        </w:tc>
        <w:tc>
          <w:tcPr>
            <w:tcW w:w="4161" w:type="dxa"/>
            <w:tcBorders>
              <w:top w:val="single" w:color="auto" w:sz="4" w:space="0"/>
              <w:left w:val="single" w:color="auto" w:sz="4" w:space="0"/>
              <w:bottom w:val="single" w:color="auto" w:sz="4" w:space="0"/>
            </w:tcBorders>
            <w:shd w:val="clear" w:color="auto" w:fill="FFFFFF"/>
            <w:vAlign w:val="center"/>
          </w:tcPr>
          <w:p>
            <w:pPr>
              <w:spacing w:line="360" w:lineRule="auto"/>
              <w:rPr>
                <w:rFonts w:ascii="仿宋" w:hAnsi="仿宋" w:eastAsia="仿宋" w:cs="宋体"/>
                <w:color w:val="000000"/>
                <w:kern w:val="0"/>
                <w:sz w:val="24"/>
              </w:rPr>
            </w:pPr>
            <w:r>
              <w:rPr>
                <w:rFonts w:hint="eastAsia" w:ascii="仿宋" w:hAnsi="仿宋" w:eastAsia="仿宋" w:cs="宋体"/>
                <w:color w:val="000000"/>
                <w:kern w:val="0"/>
                <w:sz w:val="24"/>
              </w:rPr>
              <w:t>了解幼儿发展的特点，掌握幼儿园五大领域活动的目标及主要内容，能设计并实施各年龄段五大领域教育活动方案。</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7</w:t>
            </w:r>
            <w:r>
              <w:rPr>
                <w:rFonts w:ascii="仿宋_GB2312" w:hAnsi="仿宋_GB2312" w:eastAsia="仿宋_GB2312" w:cs="仿宋_GB2312"/>
                <w:color w:val="000000"/>
              </w:rPr>
              <w:t>2</w:t>
            </w:r>
          </w:p>
        </w:tc>
      </w:tr>
      <w:tr>
        <w:tblPrEx>
          <w:tblCellMar>
            <w:top w:w="0" w:type="dxa"/>
            <w:left w:w="10" w:type="dxa"/>
            <w:bottom w:w="0" w:type="dxa"/>
            <w:right w:w="10" w:type="dxa"/>
          </w:tblCellMar>
        </w:tblPrEx>
        <w:trPr>
          <w:trHeight w:val="1705"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3</w:t>
            </w:r>
          </w:p>
        </w:tc>
        <w:tc>
          <w:tcPr>
            <w:tcW w:w="1630"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婴幼儿动作发展与指导</w:t>
            </w:r>
          </w:p>
        </w:tc>
        <w:tc>
          <w:tcPr>
            <w:tcW w:w="4161" w:type="dxa"/>
            <w:tcBorders>
              <w:top w:val="single" w:color="auto" w:sz="4" w:space="0"/>
              <w:left w:val="single" w:color="auto" w:sz="4" w:space="0"/>
              <w:bottom w:val="single" w:color="auto" w:sz="4" w:space="0"/>
            </w:tcBorders>
            <w:shd w:val="clear" w:color="auto" w:fill="FFFFFF"/>
            <w:vAlign w:val="center"/>
          </w:tcPr>
          <w:p>
            <w:pPr>
              <w:spacing w:beforeLines="20" w:afterLines="20" w:line="300" w:lineRule="exact"/>
              <w:jc w:val="left"/>
              <w:rPr>
                <w:rFonts w:ascii="仿宋_GB2312" w:hAnsi="仿宋_GB2312" w:eastAsia="仿宋_GB2312" w:cs="仿宋_GB2312"/>
                <w:color w:val="000000"/>
                <w:kern w:val="0"/>
                <w:sz w:val="24"/>
              </w:rPr>
            </w:pPr>
            <w:r>
              <w:rPr>
                <w:rFonts w:hint="eastAsia" w:ascii="仿宋" w:hAnsi="仿宋" w:eastAsia="仿宋" w:cs="宋体"/>
                <w:color w:val="000000"/>
                <w:kern w:val="0"/>
                <w:sz w:val="24"/>
              </w:rPr>
              <w:t>了解0-3岁婴幼儿的动作发展概述、0-1岁婴儿的动作发展与指导、1-2岁学步儿的动作发展与指导、2-3岁幼儿的动作发展与指导、0-3岁婴幼儿动作发展的评价。</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3</w:t>
            </w:r>
            <w:r>
              <w:rPr>
                <w:rFonts w:ascii="仿宋_GB2312" w:hAnsi="仿宋_GB2312" w:eastAsia="仿宋_GB2312" w:cs="仿宋_GB2312"/>
                <w:color w:val="000000"/>
              </w:rPr>
              <w:t>6</w:t>
            </w:r>
          </w:p>
        </w:tc>
      </w:tr>
      <w:tr>
        <w:tblPrEx>
          <w:tblCellMar>
            <w:top w:w="0" w:type="dxa"/>
            <w:left w:w="10" w:type="dxa"/>
            <w:bottom w:w="0" w:type="dxa"/>
            <w:right w:w="10" w:type="dxa"/>
          </w:tblCellMar>
        </w:tblPrEx>
        <w:trPr>
          <w:trHeight w:val="1400"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4</w:t>
            </w:r>
          </w:p>
        </w:tc>
        <w:tc>
          <w:tcPr>
            <w:tcW w:w="1630"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幼儿教师口语</w:t>
            </w:r>
          </w:p>
        </w:tc>
        <w:tc>
          <w:tcPr>
            <w:tcW w:w="4161" w:type="dxa"/>
            <w:tcBorders>
              <w:top w:val="single" w:color="auto" w:sz="4" w:space="0"/>
              <w:left w:val="single" w:color="auto" w:sz="4" w:space="0"/>
              <w:bottom w:val="single" w:color="auto" w:sz="4" w:space="0"/>
            </w:tcBorders>
            <w:shd w:val="clear" w:color="auto" w:fill="FFFFFF"/>
            <w:vAlign w:val="center"/>
          </w:tcPr>
          <w:p>
            <w:pPr>
              <w:spacing w:beforeLines="20" w:afterLines="20" w:line="300" w:lineRule="exact"/>
              <w:rPr>
                <w:rFonts w:ascii="仿宋_GB2312" w:hAnsi="仿宋_GB2312" w:eastAsia="仿宋_GB2312" w:cs="仿宋_GB2312"/>
                <w:color w:val="000000"/>
                <w:kern w:val="0"/>
                <w:sz w:val="24"/>
              </w:rPr>
            </w:pPr>
            <w:r>
              <w:rPr>
                <w:rFonts w:hint="eastAsia" w:ascii="仿宋" w:hAnsi="仿宋" w:eastAsia="仿宋" w:cs="宋体"/>
                <w:color w:val="000000"/>
                <w:kern w:val="0"/>
                <w:sz w:val="24"/>
              </w:rPr>
              <w:t>培养学生掌握普通话和一般口语表达技能，初步掌握幼儿教育教学活动中的口语运用规律和技巧，提升职业基本素养。</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7</w:t>
            </w:r>
            <w:r>
              <w:rPr>
                <w:rFonts w:ascii="仿宋_GB2312" w:hAnsi="仿宋_GB2312" w:eastAsia="仿宋_GB2312" w:cs="仿宋_GB2312"/>
                <w:color w:val="000000"/>
              </w:rPr>
              <w:t>2</w:t>
            </w:r>
          </w:p>
        </w:tc>
      </w:tr>
      <w:tr>
        <w:tblPrEx>
          <w:tblCellMar>
            <w:top w:w="0" w:type="dxa"/>
            <w:left w:w="10" w:type="dxa"/>
            <w:bottom w:w="0" w:type="dxa"/>
            <w:right w:w="10" w:type="dxa"/>
          </w:tblCellMar>
        </w:tblPrEx>
        <w:trPr>
          <w:trHeight w:val="1691"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ascii="仿宋_GB2312" w:hAnsi="仿宋_GB2312" w:eastAsia="仿宋_GB2312" w:cs="仿宋_GB2312"/>
                <w:color w:val="000000"/>
              </w:rPr>
              <w:t>5</w:t>
            </w:r>
          </w:p>
        </w:tc>
        <w:tc>
          <w:tcPr>
            <w:tcW w:w="1630"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婴幼儿舞蹈</w:t>
            </w:r>
          </w:p>
        </w:tc>
        <w:tc>
          <w:tcPr>
            <w:tcW w:w="4161" w:type="dxa"/>
            <w:tcBorders>
              <w:top w:val="single" w:color="auto" w:sz="4" w:space="0"/>
              <w:left w:val="single" w:color="auto" w:sz="4" w:space="0"/>
              <w:bottom w:val="single" w:color="auto" w:sz="4" w:space="0"/>
            </w:tcBorders>
            <w:shd w:val="clear" w:color="auto" w:fill="FFFFFF"/>
            <w:vAlign w:val="center"/>
          </w:tcPr>
          <w:p>
            <w:pPr>
              <w:spacing w:beforeLines="20" w:afterLines="20" w:line="30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掌握舞蹈的基础知识和基本技能，了解舞蹈的基础知识与方法，培养幼儿舞蹈的组织指导能力；了解幼儿舞蹈的特点，具备阅读和再现幼儿舞蹈教材的能力，并能初步创编幼儿舞蹈。</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144</w:t>
            </w:r>
          </w:p>
        </w:tc>
      </w:tr>
      <w:tr>
        <w:tblPrEx>
          <w:tblCellMar>
            <w:top w:w="0" w:type="dxa"/>
            <w:left w:w="10" w:type="dxa"/>
            <w:bottom w:w="0" w:type="dxa"/>
            <w:right w:w="10" w:type="dxa"/>
          </w:tblCellMar>
        </w:tblPrEx>
        <w:trPr>
          <w:trHeight w:val="1549"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ascii="仿宋_GB2312" w:hAnsi="仿宋_GB2312" w:eastAsia="仿宋_GB2312" w:cs="仿宋_GB2312"/>
                <w:color w:val="000000"/>
              </w:rPr>
              <w:t>6</w:t>
            </w:r>
          </w:p>
        </w:tc>
        <w:tc>
          <w:tcPr>
            <w:tcW w:w="1630"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婴幼儿美术</w:t>
            </w:r>
          </w:p>
        </w:tc>
        <w:tc>
          <w:tcPr>
            <w:tcW w:w="4161"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ind w:firstLine="480" w:firstLineChars="200"/>
              <w:rPr>
                <w:rFonts w:ascii="仿宋_GB2312" w:hAnsi="仿宋_GB2312" w:eastAsia="仿宋_GB2312" w:cs="仿宋_GB2312"/>
                <w:color w:val="000000"/>
              </w:rPr>
            </w:pPr>
            <w:r>
              <w:rPr>
                <w:rFonts w:hint="eastAsia" w:ascii="仿宋_GB2312" w:hAnsi="仿宋_GB2312" w:eastAsia="仿宋_GB2312" w:cs="仿宋_GB2312"/>
                <w:color w:val="000000"/>
              </w:rPr>
              <w:t>初步掌握绘画、图案、手工的基础知识和制作方法，并能够进行创作，初步掌握学前美术课的教学方法。培养学生的绘画知识、技能与手工制作技能，为今后幼儿保育工作奠定基础。</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144</w:t>
            </w:r>
          </w:p>
        </w:tc>
      </w:tr>
      <w:tr>
        <w:tblPrEx>
          <w:tblCellMar>
            <w:top w:w="0" w:type="dxa"/>
            <w:left w:w="10" w:type="dxa"/>
            <w:bottom w:w="0" w:type="dxa"/>
            <w:right w:w="10" w:type="dxa"/>
          </w:tblCellMar>
        </w:tblPrEx>
        <w:trPr>
          <w:trHeight w:val="1756"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ascii="仿宋_GB2312" w:hAnsi="仿宋_GB2312" w:eastAsia="仿宋_GB2312" w:cs="仿宋_GB2312"/>
                <w:color w:val="000000"/>
              </w:rPr>
              <w:t>7</w:t>
            </w:r>
          </w:p>
        </w:tc>
        <w:tc>
          <w:tcPr>
            <w:tcW w:w="1630"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钢琴基础</w:t>
            </w:r>
          </w:p>
        </w:tc>
        <w:tc>
          <w:tcPr>
            <w:tcW w:w="4161"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ind w:firstLine="480" w:firstLineChars="200"/>
              <w:rPr>
                <w:rFonts w:ascii="仿宋_GB2312" w:hAnsi="仿宋_GB2312" w:eastAsia="仿宋_GB2312" w:cs="仿宋_GB2312"/>
                <w:color w:val="000000"/>
              </w:rPr>
            </w:pPr>
            <w:r>
              <w:rPr>
                <w:rFonts w:hint="eastAsia" w:ascii="仿宋_GB2312" w:hAnsi="仿宋_GB2312" w:eastAsia="仿宋_GB2312" w:cs="仿宋_GB2312"/>
                <w:color w:val="000000"/>
              </w:rPr>
              <w:t>具备钢琴弹奏基本技能，及一定的音乐表现能力，从而提高音乐修养。学习一定数量的声乐钢琴伴奏曲，以了解声乐伴奏的基本规律，增强自弹自唱的能力。</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ascii="仿宋_GB2312" w:hAnsi="仿宋_GB2312" w:eastAsia="仿宋_GB2312" w:cs="仿宋_GB2312"/>
                <w:color w:val="000000"/>
              </w:rPr>
              <w:t>36</w:t>
            </w:r>
          </w:p>
        </w:tc>
      </w:tr>
      <w:tr>
        <w:tblPrEx>
          <w:tblCellMar>
            <w:top w:w="0" w:type="dxa"/>
            <w:left w:w="10" w:type="dxa"/>
            <w:bottom w:w="0" w:type="dxa"/>
            <w:right w:w="10" w:type="dxa"/>
          </w:tblCellMar>
        </w:tblPrEx>
        <w:trPr>
          <w:trHeight w:val="1540"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ascii="仿宋_GB2312" w:hAnsi="仿宋_GB2312" w:eastAsia="仿宋_GB2312" w:cs="仿宋_GB2312"/>
                <w:color w:val="000000"/>
              </w:rPr>
              <w:t>8</w:t>
            </w:r>
          </w:p>
        </w:tc>
        <w:tc>
          <w:tcPr>
            <w:tcW w:w="1630"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hint="eastAsia" w:ascii="仿宋_GB2312" w:hAnsi="仿宋_GB2312" w:eastAsia="仿宋_GB2312" w:cs="仿宋_GB2312"/>
                <w:color w:val="000000"/>
              </w:rPr>
              <w:t>乐理视唱</w:t>
            </w:r>
          </w:p>
        </w:tc>
        <w:tc>
          <w:tcPr>
            <w:tcW w:w="4161"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ind w:firstLine="480" w:firstLineChars="200"/>
              <w:rPr>
                <w:rFonts w:ascii="仿宋_GB2312" w:hAnsi="仿宋_GB2312" w:eastAsia="仿宋_GB2312" w:cs="仿宋_GB2312"/>
                <w:color w:val="000000"/>
              </w:rPr>
            </w:pPr>
            <w:r>
              <w:rPr>
                <w:rFonts w:hint="eastAsia" w:ascii="仿宋_GB2312" w:hAnsi="仿宋_GB2312" w:eastAsia="仿宋_GB2312" w:cs="仿宋_GB2312"/>
                <w:color w:val="000000"/>
              </w:rPr>
              <w:t>初步掌握五线谱乐理的基础知识，为学习声乐，钢琴，伴奏编配，音乐创编，音乐欣赏，幼儿音乐教学法等课程打下必要的理论基础。</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jc w:val="center"/>
              <w:rPr>
                <w:rFonts w:ascii="仿宋_GB2312" w:hAnsi="仿宋_GB2312" w:eastAsia="仿宋_GB2312" w:cs="仿宋_GB2312"/>
                <w:color w:val="000000"/>
              </w:rPr>
            </w:pPr>
            <w:r>
              <w:rPr>
                <w:rFonts w:ascii="仿宋_GB2312" w:hAnsi="仿宋_GB2312" w:eastAsia="仿宋_GB2312" w:cs="仿宋_GB2312"/>
                <w:color w:val="000000"/>
              </w:rPr>
              <w:t>36</w:t>
            </w:r>
          </w:p>
        </w:tc>
      </w:tr>
      <w:tr>
        <w:tblPrEx>
          <w:tblCellMar>
            <w:top w:w="0" w:type="dxa"/>
            <w:left w:w="10" w:type="dxa"/>
            <w:bottom w:w="0" w:type="dxa"/>
            <w:right w:w="10" w:type="dxa"/>
          </w:tblCellMar>
        </w:tblPrEx>
        <w:trPr>
          <w:trHeight w:val="1690" w:hRule="atLeast"/>
          <w:jc w:val="center"/>
        </w:trPr>
        <w:tc>
          <w:tcPr>
            <w:tcW w:w="995"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ind w:firstLine="480" w:firstLineChars="200"/>
              <w:rPr>
                <w:rFonts w:ascii="仿宋_GB2312" w:hAnsi="仿宋_GB2312" w:eastAsia="仿宋_GB2312" w:cs="仿宋_GB2312"/>
                <w:color w:val="000000"/>
              </w:rPr>
            </w:pPr>
            <w:r>
              <w:rPr>
                <w:rFonts w:ascii="仿宋_GB2312" w:hAnsi="仿宋_GB2312" w:eastAsia="仿宋_GB2312" w:cs="仿宋_GB2312"/>
                <w:color w:val="000000"/>
              </w:rPr>
              <w:t>9</w:t>
            </w:r>
          </w:p>
        </w:tc>
        <w:tc>
          <w:tcPr>
            <w:tcW w:w="1630"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ind w:firstLine="480" w:firstLineChars="200"/>
              <w:jc w:val="center"/>
              <w:rPr>
                <w:rFonts w:ascii="仿宋_GB2312" w:hAnsi="仿宋_GB2312" w:eastAsia="仿宋_GB2312" w:cs="仿宋_GB2312"/>
                <w:color w:val="000000"/>
              </w:rPr>
            </w:pPr>
            <w:r>
              <w:rPr>
                <w:rFonts w:hint="eastAsia" w:ascii="仿宋_GB2312" w:hAnsi="仿宋_GB2312" w:eastAsia="仿宋_GB2312" w:cs="仿宋_GB2312"/>
                <w:color w:val="000000"/>
              </w:rPr>
              <w:t>儿歌弹唱</w:t>
            </w:r>
          </w:p>
        </w:tc>
        <w:tc>
          <w:tcPr>
            <w:tcW w:w="4161" w:type="dxa"/>
            <w:tcBorders>
              <w:top w:val="single" w:color="auto" w:sz="4" w:space="0"/>
              <w:left w:val="single" w:color="auto" w:sz="4" w:space="0"/>
              <w:bottom w:val="single" w:color="auto" w:sz="4" w:space="0"/>
            </w:tcBorders>
            <w:shd w:val="clear" w:color="auto" w:fill="FFFFFF"/>
            <w:vAlign w:val="center"/>
          </w:tcPr>
          <w:p>
            <w:pPr>
              <w:pStyle w:val="11"/>
              <w:spacing w:beforeLines="20" w:beforeAutospacing="0" w:afterLines="20" w:afterAutospacing="0" w:line="300" w:lineRule="exact"/>
              <w:ind w:firstLine="480" w:firstLineChars="200"/>
              <w:rPr>
                <w:rFonts w:ascii="仿宋_GB2312" w:hAnsi="仿宋_GB2312" w:eastAsia="仿宋_GB2312" w:cs="仿宋_GB2312"/>
                <w:color w:val="000000"/>
              </w:rPr>
            </w:pPr>
            <w:r>
              <w:rPr>
                <w:rFonts w:hint="eastAsia" w:ascii="仿宋_GB2312" w:hAnsi="仿宋_GB2312" w:eastAsia="仿宋_GB2312" w:cs="仿宋_GB2312"/>
                <w:color w:val="000000"/>
              </w:rPr>
              <w:t>熟识乐谱、键盘乐理知识;掌握钢琴弹奏及儿歌弹唱的基本技法知识;掌握儿童歌曲即兴伴奏的理论知识及幼儿音乐教学的方法知识。</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spacing w:beforeLines="20" w:beforeAutospacing="0" w:afterLines="20" w:afterAutospacing="0" w:line="300" w:lineRule="exact"/>
              <w:ind w:firstLine="480" w:firstLineChars="200"/>
              <w:jc w:val="center"/>
              <w:rPr>
                <w:rFonts w:ascii="仿宋_GB2312" w:hAnsi="仿宋_GB2312" w:eastAsia="仿宋_GB2312" w:cs="仿宋_GB2312"/>
                <w:color w:val="000000"/>
              </w:rPr>
            </w:pPr>
            <w:r>
              <w:rPr>
                <w:rFonts w:hint="eastAsia" w:ascii="仿宋_GB2312" w:hAnsi="仿宋_GB2312" w:eastAsia="仿宋_GB2312" w:cs="仿宋_GB2312"/>
                <w:color w:val="000000"/>
              </w:rPr>
              <w:t>72</w:t>
            </w:r>
          </w:p>
        </w:tc>
      </w:tr>
    </w:tbl>
    <w:p>
      <w:pPr>
        <w:widowControl/>
        <w:spacing w:line="480" w:lineRule="exact"/>
        <w:ind w:right="42" w:rightChars="20" w:firstLine="643" w:firstLineChars="200"/>
        <w:rPr>
          <w:rFonts w:ascii="仿宋_GB2312" w:hAnsi="仿宋_GB2312" w:eastAsia="仿宋_GB2312" w:cs="仿宋_GB2312"/>
          <w:b/>
          <w:bCs/>
          <w:sz w:val="32"/>
          <w:szCs w:val="32"/>
        </w:rPr>
      </w:pPr>
    </w:p>
    <w:p>
      <w:pPr>
        <w:widowControl/>
        <w:spacing w:line="480" w:lineRule="exact"/>
        <w:ind w:left="42" w:leftChars="20" w:right="42" w:rightChars="20" w:firstLine="640" w:firstLineChars="200"/>
        <w:rPr>
          <w:rFonts w:ascii="仿宋_GB2312" w:hAnsi="仿宋_GB2312" w:eastAsia="仿宋_GB2312" w:cs="仿宋_GB2312"/>
          <w:bCs/>
          <w:sz w:val="32"/>
          <w:szCs w:val="32"/>
        </w:rPr>
      </w:pPr>
      <w:r>
        <w:rPr>
          <w:rFonts w:ascii="仿宋_GB2312" w:hAnsi="仿宋_GB2312" w:eastAsia="仿宋_GB2312" w:cs="仿宋_GB2312"/>
          <w:bCs/>
          <w:sz w:val="32"/>
          <w:szCs w:val="32"/>
        </w:rPr>
        <w:t>3</w:t>
      </w:r>
      <w:r>
        <w:rPr>
          <w:rFonts w:hint="eastAsia" w:ascii="仿宋_GB2312" w:hAnsi="仿宋_GB2312" w:eastAsia="仿宋_GB2312" w:cs="仿宋_GB2312"/>
          <w:bCs/>
          <w:sz w:val="32"/>
          <w:szCs w:val="32"/>
        </w:rPr>
        <w:t>.专业选修课程</w:t>
      </w:r>
    </w:p>
    <w:p>
      <w:pPr>
        <w:spacing w:line="480" w:lineRule="exact"/>
        <w:ind w:left="42" w:leftChars="20" w:right="42" w:rightChars="2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此类课程是幼儿保育专业课程设置的重要组成部分，是专业必修课的延伸和必要补充，选修课的设置是为适应社会幼儿保育机构的需求，满足学生个性、特长发展的需要，拓展学生的专业知识和专业技能。选修课程主要包括《</w:t>
      </w:r>
      <w:r>
        <w:rPr>
          <w:rFonts w:hint="eastAsia" w:ascii="宋体" w:hAnsi="宋体" w:cs="宋体"/>
          <w:sz w:val="32"/>
          <w:szCs w:val="32"/>
        </w:rPr>
        <w:t>母婴护理基础</w:t>
      </w:r>
      <w:r>
        <w:rPr>
          <w:rFonts w:hint="eastAsia" w:ascii="仿宋_GB2312" w:hAnsi="仿宋_GB2312" w:eastAsia="仿宋_GB2312" w:cs="仿宋_GB2312"/>
          <w:sz w:val="32"/>
          <w:szCs w:val="32"/>
        </w:rPr>
        <w:t>》、《婴幼儿</w:t>
      </w:r>
      <w:r>
        <w:rPr>
          <w:rFonts w:hint="eastAsia" w:ascii="宋体" w:hAnsi="宋体" w:cs="宋体"/>
          <w:sz w:val="32"/>
          <w:szCs w:val="32"/>
        </w:rPr>
        <w:t>玩教具制作</w:t>
      </w:r>
      <w:r>
        <w:rPr>
          <w:rFonts w:hint="eastAsia" w:ascii="仿宋_GB2312" w:hAnsi="仿宋_GB2312" w:eastAsia="仿宋_GB2312" w:cs="仿宋_GB2312"/>
          <w:sz w:val="32"/>
          <w:szCs w:val="32"/>
        </w:rPr>
        <w:t>》、《奥尔夫音乐教学法》等课程。</w:t>
      </w:r>
    </w:p>
    <w:p>
      <w:pPr>
        <w:spacing w:line="480" w:lineRule="exact"/>
        <w:ind w:left="42" w:leftChars="20" w:right="42" w:rightChars="20" w:firstLine="640" w:firstLineChars="200"/>
        <w:rPr>
          <w:rFonts w:ascii="仿宋_GB2312" w:hAnsi="仿宋_GB2312" w:eastAsia="仿宋_GB2312" w:cs="仿宋_GB2312"/>
          <w:bCs/>
          <w:sz w:val="32"/>
          <w:szCs w:val="32"/>
        </w:rPr>
      </w:pPr>
      <w:r>
        <w:rPr>
          <w:rFonts w:ascii="仿宋_GB2312" w:hAnsi="仿宋_GB2312" w:eastAsia="仿宋_GB2312" w:cs="仿宋_GB2312"/>
          <w:bCs/>
          <w:sz w:val="32"/>
          <w:szCs w:val="32"/>
        </w:rPr>
        <w:t>4</w:t>
      </w:r>
      <w:r>
        <w:rPr>
          <w:rFonts w:hint="eastAsia" w:ascii="仿宋_GB2312" w:hAnsi="仿宋_GB2312" w:eastAsia="仿宋_GB2312" w:cs="仿宋_GB2312"/>
          <w:bCs/>
          <w:sz w:val="32"/>
          <w:szCs w:val="32"/>
        </w:rPr>
        <w:t>.实践教学设置</w:t>
      </w:r>
    </w:p>
    <w:p>
      <w:pPr>
        <w:spacing w:line="480" w:lineRule="exact"/>
        <w:ind w:left="42" w:leftChars="20" w:right="42" w:rightChars="2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（1）活动课程：是幼儿保育专业有机组成部分，对学生拓宽知识、培养能力、发展个性、形成专长、提高素质具有重要意义。 包括：学科活动、文体活动、科技活动、社会调查活动、兴趣小组活动、各种竞赛活动等。</w:t>
      </w:r>
    </w:p>
    <w:p>
      <w:pPr>
        <w:spacing w:line="480" w:lineRule="exact"/>
        <w:ind w:left="42" w:leftChars="20" w:right="42" w:rightChars="2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教育见习、实习(：教育见习、实习是幼儿保育专业面向幼儿园的有组织的实践活动，目的是使学生了解幼儿园教学实际，分析教育现象，思考教育问题，熟悉教育过程。到幼儿园从事教学和教育工作，将所学基础理论、专业知识和基本技能综合运用于幼儿园教育教学实践之中，获得教师职业的实际知识和能力。</w:t>
      </w:r>
    </w:p>
    <w:p>
      <w:pPr>
        <w:spacing w:line="480" w:lineRule="exact"/>
        <w:ind w:left="42" w:leftChars="20" w:right="42" w:rightChars="2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（3）顶岗实习</w:t>
      </w:r>
    </w:p>
    <w:p>
      <w:pPr>
        <w:spacing w:line="480" w:lineRule="exact"/>
        <w:ind w:left="42" w:leftChars="20" w:right="42" w:rightChars="20" w:firstLine="640" w:firstLineChars="200"/>
        <w:rPr>
          <w:rFonts w:ascii="仿宋_GB2312" w:hAnsi="仿宋_GB2312" w:eastAsia="仿宋_GB2312" w:cs="仿宋_GB2312"/>
          <w:sz w:val="32"/>
          <w:szCs w:val="32"/>
        </w:rPr>
      </w:pPr>
      <w:r>
        <w:rPr>
          <w:rFonts w:hint="eastAsia" w:ascii="仿宋" w:hAnsi="仿宋" w:eastAsia="仿宋" w:cs="仿宋"/>
          <w:sz w:val="32"/>
          <w:szCs w:val="32"/>
        </w:rPr>
        <w:t>①实</w:t>
      </w:r>
      <w:r>
        <w:rPr>
          <w:rFonts w:hint="eastAsia" w:ascii="仿宋_GB2312" w:hAnsi="仿宋_GB2312" w:eastAsia="仿宋_GB2312" w:cs="仿宋_GB2312"/>
          <w:sz w:val="32"/>
          <w:szCs w:val="32"/>
        </w:rPr>
        <w:t>习内容：对本专业所涉及的主要工作岗位的实习，学习岗位基本技能、积累工作经验、培养职业道德、职业能力和服务意识，养成良好的职业习惯；</w:t>
      </w:r>
    </w:p>
    <w:p>
      <w:pPr>
        <w:spacing w:line="480" w:lineRule="exact"/>
        <w:ind w:left="42" w:leftChars="20" w:right="42" w:rightChars="20" w:firstLine="640" w:firstLineChars="200"/>
        <w:rPr>
          <w:rFonts w:hint="eastAsia" w:ascii="仿宋_GB2312" w:hAnsi="仿宋_GB2312" w:eastAsia="仿宋_GB2312" w:cs="仿宋_GB2312"/>
          <w:sz w:val="32"/>
          <w:szCs w:val="32"/>
        </w:rPr>
      </w:pPr>
      <w:r>
        <w:rPr>
          <w:rFonts w:hint="default" w:ascii="仿宋" w:hAnsi="仿宋" w:eastAsia="仿宋" w:cs="仿宋"/>
          <w:sz w:val="32"/>
          <w:szCs w:val="32"/>
        </w:rPr>
        <w:t>②</w:t>
      </w:r>
      <w:r>
        <w:rPr>
          <w:rFonts w:hint="eastAsia" w:ascii="仿宋" w:hAnsi="仿宋" w:eastAsia="仿宋" w:cs="仿宋"/>
          <w:sz w:val="32"/>
          <w:szCs w:val="32"/>
        </w:rPr>
        <w:t>实</w:t>
      </w:r>
      <w:r>
        <w:rPr>
          <w:rFonts w:hint="eastAsia" w:ascii="仿宋_GB2312" w:hAnsi="仿宋_GB2312" w:eastAsia="仿宋_GB2312" w:cs="仿宋_GB2312"/>
          <w:sz w:val="32"/>
          <w:szCs w:val="32"/>
        </w:rPr>
        <w:t>习时间：安排学生在第5学期和第6学期两个学期到幼儿教育机构等用人单位进行顶岗实习；</w:t>
      </w:r>
    </w:p>
    <w:p>
      <w:pPr>
        <w:spacing w:line="480" w:lineRule="exact"/>
        <w:ind w:left="42" w:leftChars="20" w:right="42" w:rightChars="20" w:firstLine="640" w:firstLineChars="200"/>
        <w:rPr>
          <w:rFonts w:hint="eastAsia" w:ascii="仿宋_GB2312" w:hAnsi="仿宋_GB2312" w:eastAsia="仿宋_GB2312" w:cs="仿宋_GB2312"/>
          <w:sz w:val="32"/>
          <w:szCs w:val="32"/>
        </w:rPr>
      </w:pPr>
      <w:r>
        <w:rPr>
          <w:rFonts w:hint="default" w:ascii="仿宋" w:hAnsi="仿宋" w:eastAsia="仿宋" w:cs="仿宋"/>
          <w:sz w:val="32"/>
          <w:szCs w:val="32"/>
        </w:rPr>
        <w:t>③</w:t>
      </w:r>
      <w:r>
        <w:rPr>
          <w:rFonts w:hint="eastAsia" w:ascii="仿宋" w:hAnsi="仿宋" w:eastAsia="仿宋" w:cs="仿宋"/>
          <w:sz w:val="32"/>
          <w:szCs w:val="32"/>
        </w:rPr>
        <w:t>实</w:t>
      </w:r>
      <w:r>
        <w:rPr>
          <w:rFonts w:hint="eastAsia" w:ascii="仿宋_GB2312" w:hAnsi="仿宋_GB2312" w:eastAsia="仿宋_GB2312" w:cs="仿宋_GB2312"/>
          <w:sz w:val="32"/>
          <w:szCs w:val="32"/>
        </w:rPr>
        <w:t>习地点：与学校定点合作的幼儿教育机构等；</w:t>
      </w:r>
    </w:p>
    <w:p>
      <w:pPr>
        <w:spacing w:line="480" w:lineRule="exact"/>
        <w:ind w:left="42" w:leftChars="20" w:right="42" w:rightChars="20" w:firstLine="640" w:firstLineChars="200"/>
        <w:rPr>
          <w:rFonts w:hint="eastAsia" w:ascii="仿宋_GB2312" w:hAnsi="仿宋_GB2312" w:eastAsia="仿宋_GB2312" w:cs="仿宋_GB2312"/>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4 \* GB3 \* MERGEFORMAT </w:instrText>
      </w:r>
      <w:r>
        <w:rPr>
          <w:rFonts w:hint="eastAsia" w:ascii="仿宋" w:hAnsi="仿宋" w:eastAsia="仿宋" w:cs="仿宋"/>
          <w:sz w:val="32"/>
          <w:szCs w:val="32"/>
        </w:rPr>
        <w:fldChar w:fldCharType="separate"/>
      </w:r>
      <w:r>
        <w:rPr>
          <w:rFonts w:hint="default" w:ascii="仿宋" w:hAnsi="仿宋" w:eastAsia="仿宋" w:cs="仿宋"/>
          <w:sz w:val="32"/>
          <w:szCs w:val="32"/>
        </w:rPr>
        <w:t>④</w:t>
      </w:r>
      <w:r>
        <w:rPr>
          <w:rFonts w:hint="eastAsia" w:ascii="仿宋" w:hAnsi="仿宋" w:eastAsia="仿宋" w:cs="仿宋"/>
          <w:sz w:val="32"/>
          <w:szCs w:val="32"/>
        </w:rPr>
        <w:fldChar w:fldCharType="end"/>
      </w:r>
      <w:r>
        <w:rPr>
          <w:rFonts w:hint="eastAsia" w:ascii="仿宋_GB2312" w:hAnsi="仿宋_GB2312" w:eastAsia="仿宋_GB2312" w:cs="仿宋_GB2312"/>
          <w:sz w:val="32"/>
          <w:szCs w:val="32"/>
        </w:rPr>
        <w:t>考核要求：建立学生实习考核评定机制，将实习成绩作为学生毕业的必备条件。实习结束要求学生写出自己的实习报告，由专业实习老师和顶岗师傅从职业道德（20%）、职业纪律（10%）、劳动态度（10%）、职业形象（5%）、员工意识（5%）、文化修养（5%）、沟通能力（5%）、业务能力（40%）等方面进行评定实习成绩；</w:t>
      </w:r>
    </w:p>
    <w:p>
      <w:pPr>
        <w:spacing w:line="480" w:lineRule="exact"/>
        <w:ind w:left="42" w:leftChars="20" w:right="42" w:rightChars="20" w:firstLine="640" w:firstLineChars="200"/>
        <w:rPr>
          <w:rFonts w:ascii="仿宋_GB2312" w:hAnsi="仿宋_GB2312" w:eastAsia="仿宋_GB2312" w:cs="仿宋_GB2312"/>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5 \* GB3 \* MERGEFORMAT </w:instrText>
      </w:r>
      <w:r>
        <w:rPr>
          <w:rFonts w:hint="eastAsia" w:ascii="仿宋" w:hAnsi="仿宋" w:eastAsia="仿宋" w:cs="仿宋"/>
          <w:sz w:val="32"/>
          <w:szCs w:val="32"/>
        </w:rPr>
        <w:fldChar w:fldCharType="separate"/>
      </w:r>
      <w:r>
        <w:rPr>
          <w:rFonts w:hint="eastAsia" w:ascii="仿宋" w:hAnsi="仿宋" w:eastAsia="仿宋" w:cs="仿宋"/>
          <w:sz w:val="32"/>
          <w:szCs w:val="32"/>
        </w:rPr>
        <w:t>⑤</w:t>
      </w:r>
      <w:r>
        <w:rPr>
          <w:rFonts w:hint="eastAsia" w:ascii="仿宋" w:hAnsi="仿宋" w:eastAsia="仿宋" w:cs="仿宋"/>
          <w:sz w:val="32"/>
          <w:szCs w:val="32"/>
        </w:rPr>
        <w:fldChar w:fldCharType="end"/>
      </w:r>
      <w:r>
        <w:rPr>
          <w:rFonts w:hint="eastAsia" w:ascii="仿宋_GB2312" w:hAnsi="仿宋_GB2312" w:eastAsia="仿宋_GB2312" w:cs="仿宋_GB2312"/>
          <w:sz w:val="32"/>
          <w:szCs w:val="32"/>
        </w:rPr>
        <w:t>组织管理：</w:t>
      </w:r>
    </w:p>
    <w:p>
      <w:pPr>
        <w:spacing w:line="480" w:lineRule="exact"/>
        <w:ind w:left="42" w:leftChars="20" w:right="42" w:rightChars="2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制定实习大纲、实习计划和签订顶岗实习协议。学校应与实习单位共同制定实习大纲，对实习的岗位和要求以及每个岗位实习的时间等提出明确的指导性意见，并签订书面协议，协议书必须明确学生保险的投保人；</w:t>
      </w:r>
    </w:p>
    <w:p>
      <w:pPr>
        <w:spacing w:line="480" w:lineRule="exact"/>
        <w:ind w:left="42" w:leftChars="20" w:right="42" w:rightChars="2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落实实习前的各项组织工作。通过召开学生动员会和家长会做好细致的组织发动工作，提出具体的实习纪律和要求以及注意事项，并与学生家长签订书面实习协议。在同一单位顶岗实习的学生数如超过20人，学校要安排不少于1名以上的专职人员到实习单位实施全程管理和服务，学生数如超过100人，学校派出的专职管理人员不能少于2人，实习单位也要指定专门师傅担任指导；</w:t>
      </w:r>
    </w:p>
    <w:p>
      <w:pPr>
        <w:spacing w:line="480" w:lineRule="exact"/>
        <w:ind w:left="42" w:leftChars="20" w:right="42" w:rightChars="2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加强实习管理。学校要设立由学校领导、专业教师、企业相关人员组成的实习管理机构，明确职责，定期或不定期到各实习点巡回检查，发现问题及时纠正；</w:t>
      </w:r>
    </w:p>
    <w:p>
      <w:pPr>
        <w:spacing w:line="480" w:lineRule="exact"/>
        <w:ind w:left="42" w:leftChars="20" w:right="42" w:rightChars="2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学校实习专职管理人员主要职责：管理实习生、及时与企业沟通、定期向学校汇报等。学生要定期写出实习情况书面汇报交实习专职管理人员。</w:t>
      </w:r>
    </w:p>
    <w:p>
      <w:pPr>
        <w:spacing w:line="480" w:lineRule="exact"/>
        <w:ind w:left="42" w:leftChars="20" w:right="42" w:rightChars="2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6 \* GB3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⑥</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安全保障：加强对学生的劳动纪律、安全(人身安全、交通安全、食品、卫生安全等)、生产操作规程、自救自护和心理健康等方面的教育。提高学生的自我保护能力。学生必须具有安全保障，学校一律不得组织未办理劳动保险的学生参加顶岗生产实习。</w:t>
      </w:r>
    </w:p>
    <w:p>
      <w:pPr>
        <w:pStyle w:val="11"/>
        <w:spacing w:beforeLines="20" w:beforeAutospacing="0" w:afterLines="20" w:afterAutospacing="0" w:line="560" w:lineRule="exact"/>
        <w:ind w:firstLine="640" w:firstLineChars="200"/>
        <w:rPr>
          <w:rStyle w:val="20"/>
          <w:rFonts w:eastAsia="黑体"/>
          <w:sz w:val="32"/>
          <w:szCs w:val="32"/>
        </w:rPr>
      </w:pPr>
      <w:bookmarkStart w:id="9" w:name="_Toc3801"/>
      <w:r>
        <w:rPr>
          <w:rStyle w:val="20"/>
          <w:rFonts w:hint="eastAsia" w:eastAsia="黑体"/>
          <w:sz w:val="32"/>
          <w:szCs w:val="32"/>
        </w:rPr>
        <w:t>八、教学进程总体安排</w:t>
      </w:r>
    </w:p>
    <w:bookmarkEnd w:id="9"/>
    <w:p>
      <w:pPr>
        <w:spacing w:line="480" w:lineRule="exact"/>
        <w:ind w:left="42" w:leftChars="20" w:right="42" w:rightChars="20" w:firstLine="643" w:firstLineChars="200"/>
        <w:rPr>
          <w:rFonts w:ascii="楷体" w:hAnsi="楷体" w:eastAsia="楷体" w:cs="仿宋_GB2312"/>
          <w:b/>
          <w:bCs/>
          <w:sz w:val="32"/>
          <w:szCs w:val="32"/>
        </w:rPr>
      </w:pPr>
      <w:r>
        <w:rPr>
          <w:rFonts w:hint="eastAsia" w:ascii="楷体" w:hAnsi="楷体" w:eastAsia="楷体" w:cs="仿宋_GB2312"/>
          <w:b/>
          <w:bCs/>
          <w:sz w:val="32"/>
          <w:szCs w:val="32"/>
        </w:rPr>
        <w:t>（一）教学活动时间分配</w:t>
      </w:r>
    </w:p>
    <w:p>
      <w:pPr>
        <w:pStyle w:val="11"/>
        <w:spacing w:beforeLines="20" w:beforeAutospacing="0" w:afterLines="20" w:afterAutospacing="0" w:line="560" w:lineRule="exact"/>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教学活动时间分配表(按周分配)</w:t>
      </w:r>
    </w:p>
    <w:tbl>
      <w:tblPr>
        <w:tblStyle w:val="13"/>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858"/>
        <w:gridCol w:w="1007"/>
        <w:gridCol w:w="1007"/>
        <w:gridCol w:w="1007"/>
        <w:gridCol w:w="1007"/>
        <w:gridCol w:w="1007"/>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735"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学    期</w:t>
            </w:r>
          </w:p>
        </w:tc>
        <w:tc>
          <w:tcPr>
            <w:tcW w:w="858"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一</w:t>
            </w: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二</w:t>
            </w: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三</w:t>
            </w: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四</w:t>
            </w: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五</w:t>
            </w: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六</w:t>
            </w:r>
          </w:p>
        </w:tc>
        <w:tc>
          <w:tcPr>
            <w:tcW w:w="1000" w:type="dxa"/>
            <w:vAlign w:val="center"/>
          </w:tcPr>
          <w:p>
            <w:pPr>
              <w:spacing w:line="480" w:lineRule="exact"/>
              <w:ind w:right="42" w:rightChars="20"/>
              <w:rPr>
                <w:rFonts w:ascii="仿宋_GB2312" w:hAnsi="仿宋_GB2312" w:eastAsia="仿宋_GB2312" w:cs="仿宋_GB2312"/>
                <w:sz w:val="28"/>
                <w:szCs w:val="28"/>
              </w:rPr>
            </w:pPr>
            <w:r>
              <w:rPr>
                <w:rFonts w:hint="eastAsia" w:ascii="仿宋_GB2312" w:hAnsi="仿宋_GB2312" w:eastAsia="仿宋_GB2312" w:cs="仿宋_GB2312"/>
                <w:sz w:val="28"/>
                <w:szCs w:val="28"/>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入学教育</w:t>
            </w:r>
          </w:p>
        </w:tc>
        <w:tc>
          <w:tcPr>
            <w:tcW w:w="858"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0"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课堂教学</w:t>
            </w:r>
          </w:p>
        </w:tc>
        <w:tc>
          <w:tcPr>
            <w:tcW w:w="858"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17</w:t>
            </w:r>
          </w:p>
        </w:tc>
        <w:tc>
          <w:tcPr>
            <w:tcW w:w="1007"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18</w:t>
            </w:r>
          </w:p>
        </w:tc>
        <w:tc>
          <w:tcPr>
            <w:tcW w:w="1007"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17</w:t>
            </w:r>
          </w:p>
        </w:tc>
        <w:tc>
          <w:tcPr>
            <w:tcW w:w="1007"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18</w:t>
            </w: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0"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复习考试</w:t>
            </w:r>
          </w:p>
        </w:tc>
        <w:tc>
          <w:tcPr>
            <w:tcW w:w="858"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000"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教学综合实训</w:t>
            </w:r>
          </w:p>
        </w:tc>
        <w:tc>
          <w:tcPr>
            <w:tcW w:w="858"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0"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跟岗实习</w:t>
            </w:r>
          </w:p>
        </w:tc>
        <w:tc>
          <w:tcPr>
            <w:tcW w:w="858"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20</w:t>
            </w:r>
          </w:p>
        </w:tc>
        <w:tc>
          <w:tcPr>
            <w:tcW w:w="1007" w:type="dxa"/>
            <w:vAlign w:val="center"/>
          </w:tcPr>
          <w:p>
            <w:pPr>
              <w:spacing w:line="480" w:lineRule="exact"/>
              <w:ind w:right="42" w:rightChars="20"/>
              <w:jc w:val="center"/>
              <w:rPr>
                <w:rFonts w:ascii="仿宋_GB2312" w:hAnsi="仿宋_GB2312" w:eastAsia="仿宋_GB2312" w:cs="仿宋_GB2312"/>
                <w:sz w:val="28"/>
                <w:szCs w:val="28"/>
              </w:rPr>
            </w:pPr>
          </w:p>
        </w:tc>
        <w:tc>
          <w:tcPr>
            <w:tcW w:w="1000"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顶岗生产实习</w:t>
            </w:r>
          </w:p>
        </w:tc>
        <w:tc>
          <w:tcPr>
            <w:tcW w:w="858"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right="42" w:rightChars="20"/>
              <w:jc w:val="center"/>
              <w:rPr>
                <w:rFonts w:ascii="仿宋_GB2312" w:hAnsi="仿宋_GB2312" w:eastAsia="仿宋_GB2312" w:cs="仿宋_GB2312"/>
                <w:sz w:val="28"/>
                <w:szCs w:val="28"/>
              </w:rPr>
            </w:pPr>
          </w:p>
        </w:tc>
        <w:tc>
          <w:tcPr>
            <w:tcW w:w="1007"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20</w:t>
            </w:r>
          </w:p>
        </w:tc>
        <w:tc>
          <w:tcPr>
            <w:tcW w:w="1000"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毕业教育</w:t>
            </w:r>
          </w:p>
        </w:tc>
        <w:tc>
          <w:tcPr>
            <w:tcW w:w="858"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000"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机动</w:t>
            </w:r>
          </w:p>
        </w:tc>
        <w:tc>
          <w:tcPr>
            <w:tcW w:w="858"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007"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000" w:type="dxa"/>
            <w:vAlign w:val="center"/>
          </w:tcPr>
          <w:p>
            <w:pPr>
              <w:spacing w:line="480" w:lineRule="exact"/>
              <w:ind w:right="42" w:rightChars="20"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spacing w:line="480" w:lineRule="exact"/>
              <w:ind w:left="42" w:leftChars="20" w:right="42" w:rightChars="20"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合计</w:t>
            </w:r>
          </w:p>
        </w:tc>
        <w:tc>
          <w:tcPr>
            <w:tcW w:w="858"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20</w:t>
            </w:r>
          </w:p>
        </w:tc>
        <w:tc>
          <w:tcPr>
            <w:tcW w:w="1007"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21</w:t>
            </w:r>
          </w:p>
        </w:tc>
        <w:tc>
          <w:tcPr>
            <w:tcW w:w="1007"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20</w:t>
            </w:r>
          </w:p>
        </w:tc>
        <w:tc>
          <w:tcPr>
            <w:tcW w:w="1007"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21</w:t>
            </w:r>
          </w:p>
        </w:tc>
        <w:tc>
          <w:tcPr>
            <w:tcW w:w="1007"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20</w:t>
            </w:r>
          </w:p>
        </w:tc>
        <w:tc>
          <w:tcPr>
            <w:tcW w:w="1007"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20</w:t>
            </w:r>
          </w:p>
        </w:tc>
        <w:tc>
          <w:tcPr>
            <w:tcW w:w="1000" w:type="dxa"/>
            <w:vAlign w:val="center"/>
          </w:tcPr>
          <w:p>
            <w:pPr>
              <w:spacing w:line="480" w:lineRule="exact"/>
              <w:ind w:right="42" w:rightChars="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124</w:t>
            </w:r>
          </w:p>
        </w:tc>
      </w:tr>
    </w:tbl>
    <w:p>
      <w:pPr>
        <w:pStyle w:val="11"/>
        <w:spacing w:beforeLines="20" w:beforeAutospacing="0" w:afterLines="20" w:afterAutospacing="0" w:line="300" w:lineRule="exact"/>
        <w:ind w:right="42" w:rightChars="20"/>
        <w:jc w:val="both"/>
        <w:rPr>
          <w:rFonts w:cs="宋体"/>
        </w:rPr>
      </w:pPr>
    </w:p>
    <w:p>
      <w:pPr>
        <w:numPr>
          <w:ilvl w:val="0"/>
          <w:numId w:val="2"/>
        </w:numPr>
        <w:spacing w:line="560" w:lineRule="exact"/>
        <w:ind w:firstLine="643" w:firstLineChars="200"/>
        <w:rPr>
          <w:rFonts w:ascii="楷体_GB2312" w:eastAsia="楷体_GB2312"/>
          <w:b/>
          <w:sz w:val="32"/>
          <w:szCs w:val="32"/>
        </w:rPr>
      </w:pPr>
      <w:r>
        <w:rPr>
          <w:rFonts w:hint="eastAsia" w:ascii="楷体_GB2312" w:eastAsia="楷体_GB2312"/>
          <w:b/>
          <w:sz w:val="32"/>
          <w:szCs w:val="32"/>
        </w:rPr>
        <w:t>教学安排建议</w:t>
      </w:r>
    </w:p>
    <w:tbl>
      <w:tblPr>
        <w:tblStyle w:val="13"/>
        <w:tblW w:w="9620" w:type="dxa"/>
        <w:tblInd w:w="113" w:type="dxa"/>
        <w:tblLayout w:type="autofit"/>
        <w:tblCellMar>
          <w:top w:w="0" w:type="dxa"/>
          <w:left w:w="108" w:type="dxa"/>
          <w:bottom w:w="0" w:type="dxa"/>
          <w:right w:w="108" w:type="dxa"/>
        </w:tblCellMar>
      </w:tblPr>
      <w:tblGrid>
        <w:gridCol w:w="456"/>
        <w:gridCol w:w="754"/>
        <w:gridCol w:w="2740"/>
        <w:gridCol w:w="580"/>
        <w:gridCol w:w="698"/>
        <w:gridCol w:w="696"/>
        <w:gridCol w:w="696"/>
        <w:gridCol w:w="500"/>
        <w:gridCol w:w="500"/>
        <w:gridCol w:w="500"/>
        <w:gridCol w:w="500"/>
        <w:gridCol w:w="500"/>
        <w:gridCol w:w="500"/>
      </w:tblGrid>
      <w:tr>
        <w:tblPrEx>
          <w:tblCellMar>
            <w:top w:w="0" w:type="dxa"/>
            <w:left w:w="108" w:type="dxa"/>
            <w:bottom w:w="0" w:type="dxa"/>
            <w:right w:w="108" w:type="dxa"/>
          </w:tblCellMar>
        </w:tblPrEx>
        <w:trPr>
          <w:trHeight w:val="312" w:hRule="atLeast"/>
        </w:trPr>
        <w:tc>
          <w:tcPr>
            <w:tcW w:w="142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课程分类</w:t>
            </w:r>
          </w:p>
        </w:tc>
        <w:tc>
          <w:tcPr>
            <w:tcW w:w="27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课程名称</w:t>
            </w:r>
          </w:p>
        </w:tc>
        <w:tc>
          <w:tcPr>
            <w:tcW w:w="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课程性质</w:t>
            </w:r>
          </w:p>
        </w:tc>
        <w:tc>
          <w:tcPr>
            <w:tcW w:w="188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学时</w:t>
            </w:r>
          </w:p>
        </w:tc>
        <w:tc>
          <w:tcPr>
            <w:tcW w:w="3000"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各学期周数、学时分配</w:t>
            </w:r>
          </w:p>
        </w:tc>
      </w:tr>
      <w:tr>
        <w:tblPrEx>
          <w:tblCellMar>
            <w:top w:w="0" w:type="dxa"/>
            <w:left w:w="108" w:type="dxa"/>
            <w:bottom w:w="0" w:type="dxa"/>
            <w:right w:w="108" w:type="dxa"/>
          </w:tblCellMar>
        </w:tblPrEx>
        <w:trPr>
          <w:trHeight w:val="312" w:hRule="atLeast"/>
        </w:trPr>
        <w:tc>
          <w:tcPr>
            <w:tcW w:w="14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27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70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总学时</w:t>
            </w:r>
          </w:p>
        </w:tc>
        <w:tc>
          <w:tcPr>
            <w:tcW w:w="5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理论学时</w:t>
            </w:r>
          </w:p>
        </w:tc>
        <w:tc>
          <w:tcPr>
            <w:tcW w:w="60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实践学时</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4</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5</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6</w:t>
            </w:r>
          </w:p>
        </w:tc>
      </w:tr>
      <w:tr>
        <w:tblPrEx>
          <w:tblCellMar>
            <w:top w:w="0" w:type="dxa"/>
            <w:left w:w="108" w:type="dxa"/>
            <w:bottom w:w="0" w:type="dxa"/>
            <w:right w:w="108" w:type="dxa"/>
          </w:tblCellMar>
        </w:tblPrEx>
        <w:trPr>
          <w:trHeight w:val="312" w:hRule="atLeast"/>
        </w:trPr>
        <w:tc>
          <w:tcPr>
            <w:tcW w:w="14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27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5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6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50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20</w:t>
            </w:r>
            <w:r>
              <w:rPr>
                <w:rFonts w:hint="eastAsia" w:ascii="宋体" w:hAnsi="宋体"/>
                <w:kern w:val="0"/>
                <w:sz w:val="18"/>
                <w:szCs w:val="18"/>
              </w:rPr>
              <w:t>周</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20</w:t>
            </w:r>
            <w:r>
              <w:rPr>
                <w:rFonts w:hint="eastAsia" w:ascii="宋体" w:hAnsi="宋体"/>
                <w:kern w:val="0"/>
                <w:sz w:val="18"/>
                <w:szCs w:val="18"/>
              </w:rPr>
              <w:t>周</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20</w:t>
            </w:r>
            <w:r>
              <w:rPr>
                <w:rFonts w:hint="eastAsia" w:ascii="宋体" w:hAnsi="宋体"/>
                <w:kern w:val="0"/>
                <w:sz w:val="18"/>
                <w:szCs w:val="18"/>
              </w:rPr>
              <w:t>周</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20</w:t>
            </w:r>
            <w:r>
              <w:rPr>
                <w:rFonts w:hint="eastAsia" w:ascii="宋体" w:hAnsi="宋体"/>
                <w:kern w:val="0"/>
                <w:sz w:val="18"/>
                <w:szCs w:val="18"/>
              </w:rPr>
              <w:t>周</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20</w:t>
            </w:r>
            <w:r>
              <w:rPr>
                <w:rFonts w:hint="eastAsia" w:ascii="宋体" w:hAnsi="宋体"/>
                <w:kern w:val="0"/>
                <w:sz w:val="18"/>
                <w:szCs w:val="18"/>
              </w:rPr>
              <w:t>周</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20</w:t>
            </w:r>
            <w:r>
              <w:rPr>
                <w:rFonts w:hint="eastAsia" w:ascii="宋体" w:hAnsi="宋体"/>
                <w:kern w:val="0"/>
                <w:sz w:val="18"/>
                <w:szCs w:val="18"/>
              </w:rPr>
              <w:t>周</w:t>
            </w:r>
          </w:p>
        </w:tc>
      </w:tr>
      <w:tr>
        <w:tblPrEx>
          <w:tblCellMar>
            <w:top w:w="0" w:type="dxa"/>
            <w:left w:w="108" w:type="dxa"/>
            <w:bottom w:w="0" w:type="dxa"/>
            <w:right w:w="108" w:type="dxa"/>
          </w:tblCellMar>
        </w:tblPrEx>
        <w:trPr>
          <w:trHeight w:val="285" w:hRule="atLeast"/>
        </w:trPr>
        <w:tc>
          <w:tcPr>
            <w:tcW w:w="1420"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公共基础课</w:t>
            </w: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中国特色社会主义</w:t>
            </w:r>
          </w:p>
        </w:tc>
        <w:tc>
          <w:tcPr>
            <w:tcW w:w="5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36</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36</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312" w:hRule="atLeast"/>
        </w:trPr>
        <w:tc>
          <w:tcPr>
            <w:tcW w:w="142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心理健康与职业生涯</w:t>
            </w:r>
          </w:p>
        </w:tc>
        <w:tc>
          <w:tcPr>
            <w:tcW w:w="5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36</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36</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nil"/>
              <w:right w:val="nil"/>
            </w:tcBorders>
            <w:shd w:val="clear" w:color="auto" w:fill="auto"/>
            <w:noWrap/>
            <w:vAlign w:val="bottom"/>
          </w:tcPr>
          <w:p>
            <w:pPr>
              <w:widowControl/>
              <w:jc w:val="right"/>
              <w:rPr>
                <w:rFonts w:ascii="宋体" w:hAnsi="宋体" w:cs="宋体"/>
                <w:kern w:val="0"/>
                <w:sz w:val="24"/>
              </w:rPr>
            </w:pPr>
            <w:r>
              <w:rPr>
                <w:rFonts w:hint="eastAsia" w:ascii="宋体" w:hAnsi="宋体" w:cs="宋体"/>
                <w:kern w:val="0"/>
                <w:sz w:val="24"/>
              </w:rPr>
              <w:t>2</w:t>
            </w:r>
          </w:p>
        </w:tc>
        <w:tc>
          <w:tcPr>
            <w:tcW w:w="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312" w:hRule="atLeast"/>
        </w:trPr>
        <w:tc>
          <w:tcPr>
            <w:tcW w:w="142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职业道德与法治</w:t>
            </w:r>
          </w:p>
        </w:tc>
        <w:tc>
          <w:tcPr>
            <w:tcW w:w="5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36</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36</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312" w:hRule="atLeast"/>
        </w:trPr>
        <w:tc>
          <w:tcPr>
            <w:tcW w:w="142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哲学与人生</w:t>
            </w:r>
          </w:p>
        </w:tc>
        <w:tc>
          <w:tcPr>
            <w:tcW w:w="5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36</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36</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nil"/>
              <w:right w:val="nil"/>
            </w:tcBorders>
            <w:shd w:val="clear" w:color="auto" w:fill="auto"/>
            <w:noWrap/>
            <w:vAlign w:val="bottom"/>
          </w:tcPr>
          <w:p>
            <w:pPr>
              <w:widowControl/>
              <w:jc w:val="center"/>
              <w:rPr>
                <w:rFonts w:ascii="宋体" w:hAnsi="宋体" w:cs="宋体"/>
                <w:kern w:val="0"/>
                <w:sz w:val="24"/>
              </w:rPr>
            </w:pPr>
          </w:p>
        </w:tc>
        <w:tc>
          <w:tcPr>
            <w:tcW w:w="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5" w:hRule="atLeast"/>
        </w:trPr>
        <w:tc>
          <w:tcPr>
            <w:tcW w:w="142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语文</w:t>
            </w:r>
          </w:p>
        </w:tc>
        <w:tc>
          <w:tcPr>
            <w:tcW w:w="5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198</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192</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6</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312" w:hRule="atLeast"/>
        </w:trPr>
        <w:tc>
          <w:tcPr>
            <w:tcW w:w="142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数学</w:t>
            </w:r>
          </w:p>
        </w:tc>
        <w:tc>
          <w:tcPr>
            <w:tcW w:w="5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144</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30</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4</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312" w:hRule="atLeast"/>
        </w:trPr>
        <w:tc>
          <w:tcPr>
            <w:tcW w:w="142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英语</w:t>
            </w:r>
          </w:p>
        </w:tc>
        <w:tc>
          <w:tcPr>
            <w:tcW w:w="5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144</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24</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312" w:hRule="atLeast"/>
        </w:trPr>
        <w:tc>
          <w:tcPr>
            <w:tcW w:w="142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历史</w:t>
            </w:r>
          </w:p>
        </w:tc>
        <w:tc>
          <w:tcPr>
            <w:tcW w:w="5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72</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72</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312" w:hRule="atLeast"/>
        </w:trPr>
        <w:tc>
          <w:tcPr>
            <w:tcW w:w="142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劳动教育</w:t>
            </w:r>
          </w:p>
        </w:tc>
        <w:tc>
          <w:tcPr>
            <w:tcW w:w="5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18</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4</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14</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312" w:hRule="atLeast"/>
        </w:trPr>
        <w:tc>
          <w:tcPr>
            <w:tcW w:w="142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公共艺术</w:t>
            </w:r>
          </w:p>
        </w:tc>
        <w:tc>
          <w:tcPr>
            <w:tcW w:w="5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36</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10</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28</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312" w:hRule="atLeast"/>
        </w:trPr>
        <w:tc>
          <w:tcPr>
            <w:tcW w:w="142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中华优秀传统文化</w:t>
            </w:r>
          </w:p>
        </w:tc>
        <w:tc>
          <w:tcPr>
            <w:tcW w:w="5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18</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18</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312" w:hRule="atLeast"/>
        </w:trPr>
        <w:tc>
          <w:tcPr>
            <w:tcW w:w="142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体育与健康</w:t>
            </w:r>
          </w:p>
        </w:tc>
        <w:tc>
          <w:tcPr>
            <w:tcW w:w="5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144</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16</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128</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312" w:hRule="atLeast"/>
        </w:trPr>
        <w:tc>
          <w:tcPr>
            <w:tcW w:w="142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信息技术</w:t>
            </w:r>
          </w:p>
        </w:tc>
        <w:tc>
          <w:tcPr>
            <w:tcW w:w="5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108</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8</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100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312" w:hRule="atLeast"/>
        </w:trPr>
        <w:tc>
          <w:tcPr>
            <w:tcW w:w="142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332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小计</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1026</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518</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292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14</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15</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11</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375" w:hRule="atLeast"/>
        </w:trPr>
        <w:tc>
          <w:tcPr>
            <w:tcW w:w="3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专业课</w:t>
            </w:r>
          </w:p>
        </w:tc>
        <w:tc>
          <w:tcPr>
            <w:tcW w:w="10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专业核</w:t>
            </w:r>
            <w:r>
              <w:rPr>
                <w:rFonts w:hint="eastAsia" w:ascii="宋体" w:hAnsi="宋体" w:cs="宋体"/>
                <w:kern w:val="0"/>
                <w:sz w:val="24"/>
              </w:rPr>
              <w:br w:type="textWrapping"/>
            </w:r>
            <w:r>
              <w:rPr>
                <w:rFonts w:hint="eastAsia" w:ascii="宋体" w:hAnsi="宋体" w:cs="宋体"/>
                <w:kern w:val="0"/>
                <w:sz w:val="24"/>
              </w:rPr>
              <w:t>心课程</w:t>
            </w: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幼儿心理学</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72</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52</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00"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婴幼儿保教基础</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72</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52</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00"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婴幼儿卫生与保健</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72</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52</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12"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幼儿保育实务</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72</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52</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12"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婴幼儿身心发展及保育</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72</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52</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75"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婴幼儿健康照护</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72</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20</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75"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婴幼儿行为观察与指导</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36</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20</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16</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90"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婴幼儿营养与护理</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72</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30</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42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12"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小计</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540</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330</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210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8</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6</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8</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8</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624"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专业技能课</w:t>
            </w: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婴幼儿一日生活管理与教育</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72</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30</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42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12"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幼儿园活动设计与实践</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72</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22</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476"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nil"/>
              <w:right w:val="nil"/>
            </w:tcBorders>
            <w:shd w:val="clear" w:color="auto" w:fill="auto"/>
            <w:noWrap/>
            <w:vAlign w:val="bottom"/>
          </w:tcPr>
          <w:p>
            <w:pPr>
              <w:widowControl/>
              <w:jc w:val="left"/>
              <w:rPr>
                <w:rFonts w:ascii="仿宋_GB2312" w:hAnsi="宋体" w:eastAsia="仿宋_GB2312" w:cs="宋体"/>
                <w:color w:val="000000"/>
                <w:kern w:val="0"/>
                <w:szCs w:val="21"/>
              </w:rPr>
            </w:pPr>
            <w:r>
              <w:rPr>
                <w:rFonts w:hint="eastAsia" w:ascii="宋体" w:hAnsi="宋体" w:cs="宋体"/>
                <w:kern w:val="0"/>
                <w:sz w:val="24"/>
              </w:rPr>
              <w:t>婴幼儿动作发展与指导</w:t>
            </w:r>
          </w:p>
        </w:tc>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36</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24</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12"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幼儿教师口语</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72</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30</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42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12"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乐理视唱</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36</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10</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45"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钢琴基础</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36</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10</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45"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儿歌弹唱</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72</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20</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45"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婴幼儿舞蹈</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144</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30</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114</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45"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婴幼儿美术</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144</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30</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114</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45"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独弦琴</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36</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10</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26</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45"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小计</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720</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216</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492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9</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9</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45"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选修课程</w:t>
            </w:r>
          </w:p>
        </w:tc>
        <w:tc>
          <w:tcPr>
            <w:tcW w:w="2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母婴护理基础</w:t>
            </w:r>
          </w:p>
        </w:tc>
        <w:tc>
          <w:tcPr>
            <w:tcW w:w="5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任选</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36</w:t>
            </w:r>
          </w:p>
        </w:tc>
        <w:tc>
          <w:tcPr>
            <w:tcW w:w="5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10</w:t>
            </w:r>
          </w:p>
        </w:tc>
        <w:tc>
          <w:tcPr>
            <w:tcW w:w="6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20</w:t>
            </w:r>
          </w:p>
        </w:tc>
        <w:tc>
          <w:tcPr>
            <w:tcW w:w="50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w:t>
            </w:r>
          </w:p>
        </w:tc>
        <w:tc>
          <w:tcPr>
            <w:tcW w:w="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w:t>
            </w:r>
          </w:p>
        </w:tc>
        <w:tc>
          <w:tcPr>
            <w:tcW w:w="50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45"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2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婴幼儿玩教具制作</w:t>
            </w:r>
          </w:p>
        </w:tc>
        <w:tc>
          <w:tcPr>
            <w:tcW w:w="5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任选</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36</w:t>
            </w:r>
          </w:p>
        </w:tc>
        <w:tc>
          <w:tcPr>
            <w:tcW w:w="5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10</w:t>
            </w:r>
          </w:p>
        </w:tc>
        <w:tc>
          <w:tcPr>
            <w:tcW w:w="6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20</w:t>
            </w:r>
          </w:p>
        </w:tc>
        <w:tc>
          <w:tcPr>
            <w:tcW w:w="50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w:t>
            </w:r>
          </w:p>
        </w:tc>
        <w:tc>
          <w:tcPr>
            <w:tcW w:w="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w:t>
            </w:r>
          </w:p>
        </w:tc>
        <w:tc>
          <w:tcPr>
            <w:tcW w:w="50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12"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奥尔夫音乐教学法</w:t>
            </w:r>
          </w:p>
        </w:tc>
        <w:tc>
          <w:tcPr>
            <w:tcW w:w="5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任选</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18</w:t>
            </w:r>
          </w:p>
        </w:tc>
        <w:tc>
          <w:tcPr>
            <w:tcW w:w="5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w:t>
            </w:r>
          </w:p>
        </w:tc>
        <w:tc>
          <w:tcPr>
            <w:tcW w:w="6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13</w:t>
            </w:r>
          </w:p>
        </w:tc>
        <w:tc>
          <w:tcPr>
            <w:tcW w:w="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w:t>
            </w:r>
          </w:p>
        </w:tc>
        <w:tc>
          <w:tcPr>
            <w:tcW w:w="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single" w:color="auto" w:sz="4" w:space="0"/>
              <w:left w:val="nil"/>
              <w:bottom w:val="nil"/>
              <w:right w:val="nil"/>
            </w:tcBorders>
            <w:shd w:val="clear" w:color="auto" w:fill="auto"/>
            <w:noWrap/>
            <w:vAlign w:val="bottom"/>
          </w:tcPr>
          <w:p>
            <w:pPr>
              <w:widowControl/>
              <w:jc w:val="center"/>
              <w:rPr>
                <w:rFonts w:ascii="宋体" w:hAnsi="宋体" w:cs="宋体"/>
                <w:color w:val="000000" w:themeColor="text1"/>
                <w:kern w:val="0"/>
                <w:sz w:val="24"/>
              </w:rPr>
            </w:pP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12"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小计</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90</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25</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53</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0</w:t>
            </w:r>
          </w:p>
        </w:tc>
        <w:tc>
          <w:tcPr>
            <w:tcW w:w="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12"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综合实训课程</w:t>
            </w: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跟岗实习</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500</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500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r>
      <w:tr>
        <w:tblPrEx>
          <w:tblCellMar>
            <w:top w:w="0" w:type="dxa"/>
            <w:left w:w="108" w:type="dxa"/>
            <w:bottom w:w="0" w:type="dxa"/>
            <w:right w:w="108" w:type="dxa"/>
          </w:tblCellMar>
        </w:tblPrEx>
        <w:trPr>
          <w:trHeight w:val="312"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顶岗实习</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必修</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500</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500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color w:val="000000" w:themeColor="text1"/>
                <w:kern w:val="0"/>
                <w:sz w:val="24"/>
              </w:rPr>
            </w:pPr>
            <w:r>
              <w:rPr>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color w:val="000000" w:themeColor="text1"/>
                <w:kern w:val="0"/>
                <w:sz w:val="24"/>
              </w:rPr>
            </w:pPr>
            <w:r>
              <w:rPr>
                <w:color w:val="000000" w:themeColor="text1"/>
                <w:kern w:val="0"/>
                <w:sz w:val="24"/>
              </w:rPr>
              <w:t>30</w:t>
            </w:r>
          </w:p>
        </w:tc>
      </w:tr>
      <w:tr>
        <w:tblPrEx>
          <w:tblCellMar>
            <w:top w:w="0" w:type="dxa"/>
            <w:left w:w="108" w:type="dxa"/>
            <w:bottom w:w="0" w:type="dxa"/>
            <w:right w:w="108" w:type="dxa"/>
          </w:tblCellMar>
        </w:tblPrEx>
        <w:trPr>
          <w:trHeight w:val="480" w:hRule="atLeast"/>
        </w:trPr>
        <w:tc>
          <w:tcPr>
            <w:tcW w:w="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4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小计</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1000</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1000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　</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color w:val="000000" w:themeColor="text1"/>
                <w:kern w:val="0"/>
                <w:sz w:val="24"/>
              </w:rPr>
            </w:pPr>
            <w:r>
              <w:rPr>
                <w:color w:val="000000" w:themeColor="text1"/>
                <w:kern w:val="0"/>
                <w:sz w:val="24"/>
              </w:rPr>
              <w:t>30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color w:val="000000" w:themeColor="text1"/>
                <w:kern w:val="0"/>
                <w:sz w:val="24"/>
              </w:rPr>
            </w:pPr>
            <w:r>
              <w:rPr>
                <w:color w:val="000000" w:themeColor="text1"/>
                <w:kern w:val="0"/>
                <w:sz w:val="24"/>
              </w:rPr>
              <w:t>30</w:t>
            </w:r>
          </w:p>
        </w:tc>
      </w:tr>
      <w:tr>
        <w:tblPrEx>
          <w:tblCellMar>
            <w:top w:w="0" w:type="dxa"/>
            <w:left w:w="108" w:type="dxa"/>
            <w:bottom w:w="0" w:type="dxa"/>
            <w:right w:w="108" w:type="dxa"/>
          </w:tblCellMar>
        </w:tblPrEx>
        <w:trPr>
          <w:trHeight w:val="312" w:hRule="atLeast"/>
        </w:trPr>
        <w:tc>
          <w:tcPr>
            <w:tcW w:w="41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合计</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3376</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1089</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2047</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w:t>
            </w:r>
            <w:r>
              <w:rPr>
                <w:rFonts w:ascii="宋体" w:hAnsi="宋体" w:cs="宋体"/>
                <w:color w:val="000000" w:themeColor="text1"/>
                <w:kern w:val="0"/>
                <w:sz w:val="24"/>
              </w:rPr>
              <w:t>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w:t>
            </w:r>
            <w:r>
              <w:rPr>
                <w:rFonts w:ascii="宋体" w:hAnsi="宋体" w:cs="宋体"/>
                <w:color w:val="000000" w:themeColor="text1"/>
                <w:kern w:val="0"/>
                <w:sz w:val="24"/>
              </w:rPr>
              <w:t>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rPr>
            </w:pPr>
            <w:r>
              <w:rPr>
                <w:rFonts w:hint="eastAsia" w:ascii="宋体" w:hAnsi="宋体" w:cs="宋体"/>
                <w:color w:val="000000" w:themeColor="text1"/>
                <w:kern w:val="0"/>
                <w:sz w:val="24"/>
              </w:rPr>
              <w:t>3</w:t>
            </w:r>
            <w:r>
              <w:rPr>
                <w:rFonts w:ascii="宋体" w:hAnsi="宋体" w:cs="宋体"/>
                <w:color w:val="000000" w:themeColor="text1"/>
                <w:kern w:val="0"/>
                <w:sz w:val="24"/>
              </w:rPr>
              <w:t>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color w:val="000000" w:themeColor="text1"/>
                <w:kern w:val="0"/>
                <w:sz w:val="24"/>
              </w:rPr>
            </w:pPr>
            <w:r>
              <w:rPr>
                <w:color w:val="000000" w:themeColor="text1"/>
                <w:kern w:val="0"/>
                <w:sz w:val="24"/>
              </w:rPr>
              <w:t>30</w:t>
            </w:r>
          </w:p>
        </w:tc>
        <w:tc>
          <w:tcPr>
            <w:tcW w:w="500" w:type="dxa"/>
            <w:tcBorders>
              <w:top w:val="nil"/>
              <w:left w:val="nil"/>
              <w:bottom w:val="single" w:color="auto" w:sz="4" w:space="0"/>
              <w:right w:val="single" w:color="auto" w:sz="4" w:space="0"/>
            </w:tcBorders>
            <w:shd w:val="clear" w:color="auto" w:fill="auto"/>
            <w:vAlign w:val="center"/>
          </w:tcPr>
          <w:p>
            <w:pPr>
              <w:widowControl/>
              <w:jc w:val="center"/>
              <w:rPr>
                <w:color w:val="000000" w:themeColor="text1"/>
                <w:kern w:val="0"/>
                <w:sz w:val="24"/>
              </w:rPr>
            </w:pPr>
            <w:r>
              <w:rPr>
                <w:color w:val="000000" w:themeColor="text1"/>
                <w:kern w:val="0"/>
                <w:sz w:val="24"/>
              </w:rPr>
              <w:t>30</w:t>
            </w:r>
          </w:p>
        </w:tc>
      </w:tr>
    </w:tbl>
    <w:p>
      <w:pPr>
        <w:spacing w:line="560" w:lineRule="exact"/>
        <w:rPr>
          <w:rFonts w:ascii="楷体_GB2312" w:eastAsia="楷体_GB2312"/>
          <w:b/>
          <w:sz w:val="32"/>
          <w:szCs w:val="32"/>
        </w:rPr>
      </w:pPr>
    </w:p>
    <w:p>
      <w:pPr>
        <w:pStyle w:val="11"/>
        <w:spacing w:beforeLines="20" w:beforeAutospacing="0" w:afterLines="20" w:afterAutospacing="0" w:line="560" w:lineRule="exact"/>
        <w:ind w:firstLine="640" w:firstLineChars="200"/>
        <w:rPr>
          <w:rStyle w:val="20"/>
          <w:rFonts w:eastAsia="黑体"/>
          <w:bCs w:val="0"/>
          <w:sz w:val="32"/>
          <w:szCs w:val="32"/>
        </w:rPr>
      </w:pPr>
      <w:bookmarkStart w:id="10" w:name="_Toc3150"/>
      <w:r>
        <w:rPr>
          <w:rStyle w:val="20"/>
          <w:rFonts w:hint="eastAsia" w:eastAsia="黑体"/>
          <w:bCs w:val="0"/>
          <w:sz w:val="32"/>
          <w:szCs w:val="32"/>
        </w:rPr>
        <w:t>九、实施保障</w:t>
      </w:r>
    </w:p>
    <w:bookmarkEnd w:id="10"/>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（一）师资队伍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总体要求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（1）公共基础课教师应具有与任教课程对口的全日制本科及以上学历，并取得中等学校教师资格。</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（2）专业课专任教师应具有与任教专业对口的本科及以上学历，并取得中等职业学校教师资格和任教专业相应的职业资格证。专业教学团队中有一定比例的兼职教师，兼职教师应是本区域或本行业的现场专家。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（3）实习指导教师应具有与任教专业对口的专科及以上学历，并取得高级工及以上职位资格。</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授课教师要求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公共基础课程教师应具备公共基础课程教师的基本条件。专业基本能力课程授课教师应具备专业课程专任教师的基本条件，还应有任教本专业两年以上的教学经历和企业实践经历，婴幼儿学习活动保育、婴幼儿行为观察与引导等岗位核心能力课程应有两位以上教师授课，其中一人为实习指导教师或行业专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教师进修培训要求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（1）专任教师每两年必须参加两个月及以上企业实践或社会实践。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（2）专业课专任教师每五年必须参加一次国家级或区级培训。公共课教师应参加教育教学或新技术的培训。</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（3）专任教师每年必须参加一次校外教育教学研究活动。</w:t>
      </w:r>
    </w:p>
    <w:p>
      <w:pPr>
        <w:spacing w:beforeLines="50" w:afterLines="50" w:line="560" w:lineRule="exact"/>
        <w:ind w:left="481"/>
        <w:rPr>
          <w:rFonts w:ascii="楷体_GB2312" w:eastAsia="楷体_GB2312"/>
          <w:b/>
          <w:sz w:val="32"/>
          <w:szCs w:val="32"/>
        </w:rPr>
      </w:pPr>
      <w:r>
        <w:rPr>
          <w:rFonts w:hint="eastAsia" w:ascii="楷体_GB2312" w:eastAsia="楷体_GB2312"/>
          <w:b/>
          <w:sz w:val="32"/>
          <w:szCs w:val="32"/>
        </w:rPr>
        <w:t>（二）教学设施</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1.校内实训实习室</w:t>
      </w:r>
    </w:p>
    <w:tbl>
      <w:tblPr>
        <w:tblStyle w:val="14"/>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7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7111"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实训室名称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7111"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舞蹈实训室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7111"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电钢琴实训室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7111"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绘画手工实训室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7111"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幼儿园仿真实训室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7111"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语音室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7111"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婴幼儿卫生保健实训室</w:t>
            </w:r>
          </w:p>
        </w:tc>
      </w:tr>
    </w:tbl>
    <w:p>
      <w:pPr>
        <w:widowControl/>
        <w:spacing w:beforeLines="20" w:afterLines="20" w:line="300" w:lineRule="exact"/>
        <w:ind w:right="42" w:rightChars="20"/>
        <w:rPr>
          <w:rFonts w:ascii="宋体" w:hAnsi="宋体" w:cs="宋体"/>
          <w:sz w:val="24"/>
        </w:rPr>
      </w:pPr>
    </w:p>
    <w:p>
      <w:pPr>
        <w:widowControl/>
        <w:spacing w:beforeLines="20" w:afterLines="20" w:line="300" w:lineRule="exact"/>
        <w:ind w:right="42" w:rightChars="20"/>
        <w:rPr>
          <w:rFonts w:ascii="宋体" w:hAnsi="宋体" w:cs="宋体"/>
          <w:sz w:val="24"/>
        </w:rPr>
      </w:pPr>
    </w:p>
    <w:p>
      <w:pPr>
        <w:widowControl/>
        <w:spacing w:beforeLines="20" w:afterLines="20" w:line="300" w:lineRule="exact"/>
        <w:ind w:right="42" w:rightChars="20"/>
        <w:rPr>
          <w:rFonts w:ascii="宋体" w:hAnsi="宋体" w:cs="宋体"/>
          <w:sz w:val="24"/>
        </w:rPr>
      </w:pP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2.校外实训基地</w:t>
      </w:r>
    </w:p>
    <w:tbl>
      <w:tblPr>
        <w:tblStyle w:val="14"/>
        <w:tblW w:w="8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7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709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幼儿园名称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709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防城港市苗壮幼儿园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709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防城港市港务集团有限公司幼儿园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709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港口区英华幼儿园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709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防城港市港口区阳光海岸幼儿园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709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港口区金海湾幼儿园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709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智慧树艺术幼儿园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709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皇家萌童幼儿园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709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东兴市山水豪庭幼儿园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709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东兴市伟才幼儿园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709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东兴市红缨幼儿园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7092" w:type="dxa"/>
            <w:vAlign w:val="center"/>
          </w:tcPr>
          <w:p>
            <w:pPr>
              <w:spacing w:line="560" w:lineRule="exact"/>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江平镇晨曦幼儿园</w:t>
            </w:r>
          </w:p>
        </w:tc>
      </w:tr>
    </w:tbl>
    <w:p>
      <w:pPr>
        <w:spacing w:beforeLines="50" w:afterLines="50" w:line="560" w:lineRule="exact"/>
        <w:ind w:left="481"/>
        <w:rPr>
          <w:rFonts w:ascii="楷体_GB2312" w:eastAsia="楷体_GB2312"/>
          <w:b/>
          <w:sz w:val="32"/>
          <w:szCs w:val="32"/>
        </w:rPr>
      </w:pPr>
      <w:r>
        <w:rPr>
          <w:rFonts w:hint="eastAsia" w:ascii="楷体_GB2312" w:eastAsia="楷体_GB2312"/>
          <w:b/>
          <w:sz w:val="32"/>
          <w:szCs w:val="32"/>
        </w:rPr>
        <w:t>（三）教学要求</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教师以学生发展为本，重视培养学生的综合素质和职业能力，以适应社会发展和现代幼儿保育理念变化带来的职业岗位能力要求的变化，为学生的可持续发展奠定基础。教学过程中，应融入对学生职业道德和职业意识的培养。</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教学过程中，教师应立足于培养学生专业知识与技能的兴趣，以学生为本，注重“教”与“学”的互动，激发学生学习专业的兴趣和动力。学校通过组织学生参观幼儿园或各类早教培训机构以加强学生对幼儿保育工作岗位的认知。针对学生实际职业能力的培养，通过选用典型活动项目，由教师提出要求或做出示范，组织学生进行活动，使学生在活动中树立责任意识，增强团队的合作精神，掌握本专业的职业能力。</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注重幼儿保育职业情景的创设，以多媒体、录像、案例分析等方法提高学生幼儿保育职业岗位的综合能力。</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注重幼儿保育工作的发展趋势及各类幼儿保育企业和事业机构的发展变化对幼儿保育工作的影响，适时引进新的教学内容。</w:t>
      </w:r>
    </w:p>
    <w:p>
      <w:pPr>
        <w:spacing w:beforeLines="50" w:afterLines="50" w:line="560" w:lineRule="exact"/>
        <w:ind w:left="481"/>
        <w:rPr>
          <w:rFonts w:ascii="楷体_GB2312" w:eastAsia="楷体_GB2312"/>
          <w:b/>
          <w:sz w:val="32"/>
          <w:szCs w:val="32"/>
        </w:rPr>
      </w:pPr>
      <w:r>
        <w:rPr>
          <w:rFonts w:hint="eastAsia" w:ascii="楷体_GB2312" w:eastAsia="楷体_GB2312"/>
          <w:b/>
          <w:sz w:val="32"/>
          <w:szCs w:val="32"/>
        </w:rPr>
        <w:t>（三）教学管理</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更新教学观念，改变传统的教学管理模式。教学管理具有一定的规范性和灵活性。针对学校的实际情况和专业特点，从原来的以教师为中心的讲授法为主，转变成为以学生为中心的情景导向的行动教学方法，以模拟教学法、案例教学法、角色扮演教学法等为主，提高课堂教学有效性；调整课程安排，依据“教、学、做一体化”的要求，加强师资队伍建设；合理配安排课程，配合教学模式改革推进；推行“教、学、做一体化”教学法；改革教案的形式和教学内容；建立多元评价标准，完善教学评价体系；采用多样方式、多种形式积极开展学生技能提高工作。</w:t>
      </w:r>
    </w:p>
    <w:p>
      <w:pPr>
        <w:spacing w:beforeLines="50" w:afterLines="50" w:line="560" w:lineRule="exact"/>
        <w:ind w:left="481"/>
        <w:rPr>
          <w:rFonts w:ascii="楷体_GB2312" w:eastAsia="楷体_GB2312"/>
          <w:b/>
          <w:sz w:val="32"/>
          <w:szCs w:val="32"/>
        </w:rPr>
      </w:pPr>
      <w:r>
        <w:rPr>
          <w:rFonts w:hint="eastAsia" w:ascii="楷体_GB2312" w:eastAsia="楷体_GB2312"/>
          <w:b/>
          <w:sz w:val="32"/>
          <w:szCs w:val="32"/>
        </w:rPr>
        <w:t>（四）教学评价</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1.评价原则</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坚持方向性，引导学生践行社会主义核心价值观，热爱中国共产党，弘扬中华民族传统美德。坚持指导性，把握学生的个性特点，关注成长过程，激发每一个学生的潜能优势，鼓励学生不断进步。坚持客观性，如实记录学生成长过程中的突出表现，真实反映学生的发展状况，以事实为依据进行评价。坚持公正性，严格规范评价程序，强化有效监督，确保评价过程公开透明。</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2.评价内容</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依据党的教育方针，坚持以德育为先，能力为重，反映学生全面发展情况和个性特长，注重考察学生社会责任感、职业道德、职业技能、就业创业能力。</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思想品德：主要考察学生在爱党爱国、理想信念、诚实守信、仁爱友善、责任义务、遵纪守法等方面的表现。</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学业水平：主要考察学生各门课程基础知识、基本技能掌握情况以及运用知识技能解决问题的能力等。重点是学生公共基础课程（德育课、文化课、体育与健康课、艺术课及其他选修公共课）的学业水平考试成绩；专业技能课程（专业核心课程）及选修课程的考试和考查成绩；参加各类各级专业技能竞赛活动获奖情况；实习实训（校内实训、校外实训、顶岗实习等多种形式）考核鉴定；获得职业资格证书情况。</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心健康：主要考察学生的健康生活方式、体育锻炼习惯、身体机能、运动技能和心理素质等。重点是《国家学生体质健康标准》测试主要结果，体育运动特长项目，参加体育运动的效果，应对困难和挫折的表现等。</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3.评价与考核</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教、学、做一体化”的模式下，教师采用案例与情景教学法、任务驱动法、行动导向法等教学法，对学生学业的评价以过程性考核为主，采用平时成绩+应用能力成绩+实习考核鉴定对学生进行综合评价。其中，平时成绩主要考查学生出勤情况、作业情况和课堂表现等；应用能力成绩主要是对课堂情景教学的内容进行阶段性的考核，通过表演、说、唱等形式来体现，以抽签的方式进行情景表演或操作进行现场评价，充分锻炼和检验学生学习的效果；期末试卷以考核学期所学内容为主；学习实训以第三方考核鉴定为主。对学生的学业评价还以职业资格考试、技能比赛获奖情况作为学生学业评价的加分参考。</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4.评价模式</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（1）文化素质课考核要根据专业岗位能力要求和学科特点，选择考核内容，突出职业能力考核。文化素质考核评价要将文化素质的职业能力与文化成绩考核有机结合。</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（2）语、数、英科目由学校统一组织命题考试，其余课程由专业组采取教、考分离形式组织考试。各专业核心课程和计算机所有课程充分利用数字化校园平台并根据专业特点，结合行业、企业标准组织考试。</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公共基础课由学校统一组织命题和考核，采用平时形成性考核和期末终结性考试相结合的方式进行。课程考核总成绩满分为100分，其中平时形成性考核成绩占总成绩的40%，考核内容包括平时记分作业（或测验）和平时表现（包括课中和课后所表现出的学习态度、学习习惯、学习创新等）；期末终结性考试成绩占总成绩的60%，由卷面成绩（满分为100分）折合分数。</w:t>
      </w:r>
    </w:p>
    <w:p>
      <w:pPr>
        <w:spacing w:beforeLines="50" w:afterLines="5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（4）体育课考核内容要根据大纲要求并结合专业特点组织体能素质和体育课职业能力测试。</w:t>
      </w:r>
    </w:p>
    <w:p>
      <w:pPr>
        <w:spacing w:beforeLines="50" w:afterLines="50" w:line="560" w:lineRule="exact"/>
        <w:ind w:firstLine="643" w:firstLineChars="200"/>
        <w:rPr>
          <w:rFonts w:ascii="楷体_GB2312" w:eastAsia="楷体_GB2312"/>
          <w:b/>
          <w:sz w:val="32"/>
          <w:szCs w:val="32"/>
        </w:rPr>
      </w:pPr>
      <w:r>
        <w:rPr>
          <w:rFonts w:hint="eastAsia" w:ascii="楷体_GB2312" w:eastAsia="楷体_GB2312"/>
          <w:b/>
          <w:sz w:val="32"/>
          <w:szCs w:val="32"/>
        </w:rPr>
        <w:t>（五）质量管理</w:t>
      </w:r>
    </w:p>
    <w:p>
      <w:pPr>
        <w:spacing w:line="560" w:lineRule="exact"/>
        <w:ind w:firstLine="640" w:firstLineChars="200"/>
        <w:rPr>
          <w:rFonts w:ascii="仿宋_GB2312" w:hAnsi="仿宋_GB2312" w:eastAsia="仿宋_GB2312" w:cs="仿宋_GB2312"/>
          <w:color w:val="000000"/>
          <w:sz w:val="32"/>
          <w:szCs w:val="32"/>
          <w:lang w:bidi="en-US"/>
        </w:rPr>
      </w:pPr>
      <w:r>
        <w:rPr>
          <w:rFonts w:hint="eastAsia" w:ascii="仿宋_GB2312" w:hAnsi="仿宋_GB2312" w:eastAsia="仿宋_GB2312" w:cs="仿宋_GB2312"/>
          <w:color w:val="000000"/>
          <w:sz w:val="32"/>
          <w:szCs w:val="32"/>
          <w:lang w:bidi="en-US"/>
        </w:rPr>
        <w:t>1.根据教育部、省教育厅有关文件精神,围绕学校人才培养目标和要求,遵循教育教学规律,组织制订教学管理规章制度、各教学环节的质量标准。</w:t>
      </w:r>
    </w:p>
    <w:p>
      <w:pPr>
        <w:spacing w:line="560" w:lineRule="exact"/>
        <w:ind w:firstLine="640" w:firstLineChars="200"/>
        <w:rPr>
          <w:rFonts w:ascii="仿宋_GB2312" w:hAnsi="仿宋_GB2312" w:eastAsia="仿宋_GB2312" w:cs="仿宋_GB2312"/>
          <w:color w:val="000000"/>
          <w:sz w:val="32"/>
          <w:szCs w:val="32"/>
          <w:lang w:bidi="en-US"/>
        </w:rPr>
      </w:pPr>
      <w:r>
        <w:rPr>
          <w:rFonts w:hint="eastAsia" w:ascii="仿宋_GB2312" w:hAnsi="仿宋_GB2312" w:eastAsia="仿宋_GB2312" w:cs="仿宋_GB2312"/>
          <w:color w:val="000000"/>
          <w:sz w:val="32"/>
          <w:szCs w:val="32"/>
          <w:lang w:bidi="en-US"/>
        </w:rPr>
        <w:t>2.建立健全学校教学质量监控与保障体系,规范教学工作的各个环节,对教学工作的全过程、各环节,全方位地进行监督、检查、检测和评估。</w:t>
      </w:r>
    </w:p>
    <w:p>
      <w:pPr>
        <w:spacing w:line="560" w:lineRule="exact"/>
        <w:ind w:firstLine="640" w:firstLineChars="200"/>
        <w:rPr>
          <w:rFonts w:ascii="仿宋_GB2312" w:hAnsi="仿宋_GB2312" w:eastAsia="仿宋_GB2312" w:cs="仿宋_GB2312"/>
          <w:color w:val="000000"/>
          <w:sz w:val="32"/>
          <w:szCs w:val="32"/>
          <w:lang w:bidi="en-US"/>
        </w:rPr>
      </w:pPr>
      <w:r>
        <w:rPr>
          <w:rFonts w:hint="eastAsia" w:ascii="仿宋_GB2312" w:hAnsi="仿宋_GB2312" w:eastAsia="仿宋_GB2312" w:cs="仿宋_GB2312"/>
          <w:color w:val="000000"/>
          <w:sz w:val="32"/>
          <w:szCs w:val="32"/>
          <w:lang w:bidi="en-US"/>
        </w:rPr>
        <w:t>3.建立健全教学质量信息反馈网络,对教学过程进行有效调控和优化,切实提高教学质量。</w:t>
      </w:r>
    </w:p>
    <w:p>
      <w:pPr>
        <w:spacing w:line="560" w:lineRule="exact"/>
        <w:ind w:firstLine="640" w:firstLineChars="200"/>
        <w:rPr>
          <w:rFonts w:ascii="黑体" w:hAnsi="黑体" w:eastAsia="黑体"/>
          <w:b/>
          <w:bCs/>
          <w:color w:val="000000"/>
          <w:sz w:val="24"/>
          <w:lang w:bidi="en-US"/>
        </w:rPr>
      </w:pPr>
      <w:r>
        <w:rPr>
          <w:rFonts w:hint="eastAsia" w:ascii="仿宋_GB2312" w:hAnsi="仿宋_GB2312" w:eastAsia="仿宋_GB2312" w:cs="仿宋_GB2312"/>
          <w:color w:val="000000"/>
          <w:sz w:val="32"/>
          <w:szCs w:val="32"/>
          <w:lang w:bidi="en-US"/>
        </w:rPr>
        <w:t>4.深化产教融合、校企合作，</w:t>
      </w:r>
      <w:r>
        <w:rPr>
          <w:rStyle w:val="19"/>
          <w:rFonts w:hint="eastAsia" w:ascii="仿宋_GB2312" w:hAnsi="仿宋_GB2312" w:eastAsia="仿宋_GB2312" w:cs="仿宋_GB2312"/>
          <w:b w:val="0"/>
          <w:sz w:val="32"/>
          <w:szCs w:val="32"/>
        </w:rPr>
        <w:t>与行业企业共建人才质量培养评价体系。</w:t>
      </w:r>
    </w:p>
    <w:p>
      <w:pPr>
        <w:pStyle w:val="11"/>
        <w:spacing w:beforeLines="20" w:beforeAutospacing="0" w:afterLines="20" w:afterAutospacing="0" w:line="560" w:lineRule="exact"/>
        <w:ind w:firstLine="640" w:firstLineChars="200"/>
        <w:rPr>
          <w:rStyle w:val="20"/>
          <w:rFonts w:eastAsia="黑体"/>
          <w:bCs w:val="0"/>
          <w:sz w:val="32"/>
          <w:szCs w:val="32"/>
        </w:rPr>
      </w:pPr>
      <w:bookmarkStart w:id="11" w:name="_Toc16787"/>
      <w:r>
        <w:rPr>
          <w:rStyle w:val="20"/>
          <w:rFonts w:hint="eastAsia" w:eastAsia="黑体"/>
          <w:bCs w:val="0"/>
          <w:sz w:val="32"/>
          <w:szCs w:val="32"/>
        </w:rPr>
        <w:t>十、毕业要求</w:t>
      </w:r>
    </w:p>
    <w:bookmarkEnd w:id="11"/>
    <w:p>
      <w:pPr>
        <w:spacing w:line="560" w:lineRule="exact"/>
        <w:ind w:firstLine="643" w:firstLineChars="200"/>
        <w:jc w:val="left"/>
        <w:rPr>
          <w:rFonts w:hint="eastAsia" w:ascii="楷体" w:hAnsi="楷体" w:eastAsia="楷体" w:cs="楷体"/>
          <w:b/>
          <w:bCs/>
          <w:sz w:val="32"/>
          <w:szCs w:val="32"/>
        </w:rPr>
      </w:pPr>
      <w:r>
        <w:rPr>
          <w:rFonts w:hint="eastAsia" w:ascii="楷体" w:hAnsi="楷体" w:eastAsia="楷体" w:cs="楷体"/>
          <w:b/>
          <w:bCs/>
          <w:sz w:val="32"/>
          <w:szCs w:val="32"/>
          <w:lang w:val="en-US" w:eastAsia="zh-CN"/>
        </w:rPr>
        <w:t>（一）</w:t>
      </w:r>
      <w:r>
        <w:rPr>
          <w:rFonts w:hint="eastAsia" w:ascii="楷体" w:hAnsi="楷体" w:eastAsia="楷体" w:cs="楷体"/>
          <w:b/>
          <w:bCs/>
          <w:sz w:val="32"/>
          <w:szCs w:val="32"/>
        </w:rPr>
        <w:t>获得毕业证书的要求</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思想品德评价合格。</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修满教学计划规定的全部课程且成绩合格，或修满规定学分。</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顶岗实习或社会实践考核合格。</w:t>
      </w:r>
    </w:p>
    <w:p>
      <w:pPr>
        <w:spacing w:line="560" w:lineRule="exact"/>
        <w:ind w:firstLine="643" w:firstLineChars="200"/>
        <w:jc w:val="left"/>
        <w:rPr>
          <w:rFonts w:hint="eastAsia" w:ascii="楷体" w:hAnsi="楷体" w:eastAsia="楷体" w:cs="楷体"/>
          <w:b/>
          <w:bCs/>
          <w:sz w:val="32"/>
          <w:szCs w:val="32"/>
        </w:rPr>
      </w:pPr>
      <w:r>
        <w:rPr>
          <w:rFonts w:hint="eastAsia" w:ascii="楷体" w:hAnsi="楷体" w:eastAsia="楷体" w:cs="楷体"/>
          <w:b/>
          <w:bCs/>
          <w:sz w:val="32"/>
          <w:szCs w:val="32"/>
        </w:rPr>
        <w:t>（二）获得毕业证书的其他要求</w:t>
      </w:r>
      <w:bookmarkStart w:id="13" w:name="_GoBack"/>
      <w:bookmarkEnd w:id="13"/>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本专业实行“1+X证书制度”，学生在学习期间，鼓励取得以下职业技能证书（及相关证书）：</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1.婴幼儿照护职业资格证书</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育婴员职业资格证书</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普通话二级乙等水平证书</w:t>
      </w:r>
    </w:p>
    <w:p>
      <w:pPr>
        <w:pStyle w:val="11"/>
        <w:spacing w:beforeLines="20" w:beforeAutospacing="0" w:afterLines="20" w:afterAutospacing="0" w:line="560" w:lineRule="exact"/>
        <w:ind w:firstLine="640" w:firstLineChars="200"/>
        <w:rPr>
          <w:rStyle w:val="20"/>
          <w:rFonts w:hint="eastAsia" w:eastAsia="黑体"/>
          <w:bCs w:val="0"/>
          <w:sz w:val="32"/>
          <w:szCs w:val="32"/>
          <w:lang w:eastAsia="zh-CN"/>
        </w:rPr>
      </w:pPr>
      <w:bookmarkStart w:id="12" w:name="_Toc15115"/>
      <w:r>
        <w:rPr>
          <w:rStyle w:val="20"/>
          <w:rFonts w:hint="eastAsia" w:eastAsia="黑体"/>
          <w:bCs w:val="0"/>
          <w:sz w:val="32"/>
          <w:szCs w:val="32"/>
        </w:rPr>
        <w:t>十一、附录</w:t>
      </w:r>
      <w:r>
        <w:rPr>
          <w:rStyle w:val="20"/>
          <w:rFonts w:hint="eastAsia" w:eastAsia="黑体"/>
          <w:bCs w:val="0"/>
          <w:sz w:val="32"/>
          <w:szCs w:val="32"/>
          <w:lang w:eastAsia="zh-CN"/>
        </w:rPr>
        <w:t>（略）</w:t>
      </w:r>
    </w:p>
    <w:bookmarkEnd w:id="12"/>
    <w:p>
      <w:pPr>
        <w:spacing w:beforeLines="50" w:afterLines="50" w:line="560" w:lineRule="exact"/>
        <w:ind w:firstLine="472" w:firstLineChars="196"/>
        <w:rPr>
          <w:rFonts w:ascii="黑体" w:hAnsi="黑体" w:eastAsia="黑体"/>
          <w:b/>
          <w:bCs/>
          <w:color w:val="000000"/>
          <w:sz w:val="24"/>
          <w:lang w:bidi="en-US"/>
        </w:rPr>
      </w:pPr>
    </w:p>
    <w:p>
      <w:pPr>
        <w:spacing w:line="560" w:lineRule="exact"/>
      </w:pPr>
    </w:p>
    <w:sectPr>
      <w:footerReference r:id="rId4"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4153BA4-1F6D-4F26-97A6-FAEACD77D578}"/>
  </w:font>
  <w:font w:name="Arial">
    <w:panose1 w:val="020B0604020202020204"/>
    <w:charset w:val="01"/>
    <w:family w:val="swiss"/>
    <w:pitch w:val="default"/>
    <w:sig w:usb0="E0002AFF" w:usb1="C0007843" w:usb2="00000009" w:usb3="00000000" w:csb0="400001FF" w:csb1="FFFF0000"/>
    <w:embedRegular r:id="rId2" w:fontKey="{14CA3AA1-9E9C-4A71-BE02-229F278A967B}"/>
  </w:font>
  <w:font w:name="黑体">
    <w:panose1 w:val="02010609060101010101"/>
    <w:charset w:val="86"/>
    <w:family w:val="auto"/>
    <w:pitch w:val="default"/>
    <w:sig w:usb0="800002BF" w:usb1="38CF7CFA" w:usb2="00000016" w:usb3="00000000" w:csb0="00040001" w:csb1="00000000"/>
    <w:embedRegular r:id="rId3" w:fontKey="{8DEBF430-3DE7-4B46-B96B-5B918289D33D}"/>
  </w:font>
  <w:font w:name="Courier New">
    <w:panose1 w:val="02070309020205020404"/>
    <w:charset w:val="01"/>
    <w:family w:val="modern"/>
    <w:pitch w:val="default"/>
    <w:sig w:usb0="E0002AFF" w:usb1="C0007843" w:usb2="00000009" w:usb3="00000000" w:csb0="400001FF" w:csb1="FFFF0000"/>
    <w:embedRegular r:id="rId4" w:fontKey="{EBC0472A-2F0E-4ABC-BCFD-7EE03AE0B837}"/>
  </w:font>
  <w:font w:name="Symbol">
    <w:panose1 w:val="05050102010706020507"/>
    <w:charset w:val="02"/>
    <w:family w:val="roman"/>
    <w:pitch w:val="default"/>
    <w:sig w:usb0="00000000" w:usb1="00000000" w:usb2="00000000" w:usb3="00000000" w:csb0="80000000" w:csb1="00000000"/>
    <w:embedRegular r:id="rId5" w:fontKey="{7263D3E2-7C11-4EF6-8224-556E3444C290}"/>
  </w:font>
  <w:font w:name="Calibri">
    <w:panose1 w:val="020F0502020204030204"/>
    <w:charset w:val="00"/>
    <w:family w:val="swiss"/>
    <w:pitch w:val="default"/>
    <w:sig w:usb0="E00002FF" w:usb1="4000ACFF" w:usb2="00000001" w:usb3="00000000" w:csb0="2000019F" w:csb1="00000000"/>
    <w:embedRegular r:id="rId6" w:fontKey="{C74491C9-5004-4A63-9087-D14949FD1E9D}"/>
  </w:font>
  <w:font w:name="方正小标宋简体">
    <w:panose1 w:val="03000509000000000000"/>
    <w:charset w:val="86"/>
    <w:family w:val="script"/>
    <w:pitch w:val="default"/>
    <w:sig w:usb0="00000001" w:usb1="080E0000" w:usb2="00000000" w:usb3="00000000" w:csb0="00040000" w:csb1="00000000"/>
    <w:embedRegular r:id="rId7" w:fontKey="{FD0DB9C4-0AD6-4231-948D-E19A6CF2B796}"/>
  </w:font>
  <w:font w:name="Adobe 宋体 Std L">
    <w:altName w:val="宋体"/>
    <w:panose1 w:val="00000000000000000000"/>
    <w:charset w:val="86"/>
    <w:family w:val="roman"/>
    <w:pitch w:val="default"/>
    <w:sig w:usb0="00000000" w:usb1="00000000" w:usb2="00000016" w:usb3="00000000" w:csb0="00060007" w:csb1="00000000"/>
  </w:font>
  <w:font w:name="Courier New">
    <w:panose1 w:val="02070309020205020404"/>
    <w:charset w:val="00"/>
    <w:family w:val="modern"/>
    <w:pitch w:val="default"/>
    <w:sig w:usb0="E0002AFF" w:usb1="C0007843" w:usb2="00000009" w:usb3="00000000" w:csb0="400001FF" w:csb1="FFFF0000"/>
    <w:embedRegular r:id="rId8" w:fontKey="{2DF3EE9D-56E9-4D7F-87BE-ADC5EF80EC39}"/>
  </w:font>
  <w:font w:name="Cambria">
    <w:panose1 w:val="02040503050406030204"/>
    <w:charset w:val="00"/>
    <w:family w:val="roman"/>
    <w:pitch w:val="default"/>
    <w:sig w:usb0="E00002FF" w:usb1="400004FF" w:usb2="00000000" w:usb3="00000000" w:csb0="2000019F" w:csb1="00000000"/>
    <w:embedRegular r:id="rId9" w:fontKey="{1C6A015F-D7AD-4F4C-B8D4-9D31F6BB198F}"/>
  </w:font>
  <w:font w:name="Calibri Light">
    <w:panose1 w:val="020F0302020204030204"/>
    <w:charset w:val="00"/>
    <w:family w:val="swiss"/>
    <w:pitch w:val="default"/>
    <w:sig w:usb0="A00002EF" w:usb1="4000207B" w:usb2="00000000" w:usb3="00000000" w:csb0="2000019F" w:csb1="00000000"/>
    <w:embedRegular r:id="rId10" w:fontKey="{639E92C6-EA67-473F-B534-CEA7F90DA6D5}"/>
  </w:font>
  <w:font w:name="仿宋_GB2312">
    <w:panose1 w:val="02010609030101010101"/>
    <w:charset w:val="86"/>
    <w:family w:val="modern"/>
    <w:pitch w:val="default"/>
    <w:sig w:usb0="00000000" w:usb1="00000000" w:usb2="00000000" w:usb3="00000000" w:csb0="00000000" w:csb1="00000000"/>
    <w:embedRegular r:id="rId11" w:fontKey="{00F0AFA1-CA15-4F52-8D4A-2702906A08A0}"/>
  </w:font>
  <w:font w:name="华文新魏">
    <w:altName w:val="微软雅黑"/>
    <w:panose1 w:val="00000000000000000000"/>
    <w:charset w:val="86"/>
    <w:family w:val="auto"/>
    <w:pitch w:val="default"/>
    <w:sig w:usb0="00000000" w:usb1="00000000" w:usb2="00000010" w:usb3="00000000" w:csb0="00040000" w:csb1="00000000"/>
    <w:embedRegular r:id="rId12" w:fontKey="{878E365C-7848-41C7-A3C6-DAC756DE12AB}"/>
  </w:font>
  <w:font w:name="楷体_GB2312">
    <w:panose1 w:val="02010609030101010101"/>
    <w:charset w:val="86"/>
    <w:family w:val="modern"/>
    <w:pitch w:val="default"/>
    <w:sig w:usb0="00000000" w:usb1="00000000" w:usb2="00000000" w:usb3="00000000" w:csb0="00000000" w:csb1="00000000"/>
    <w:embedRegular r:id="rId13" w:fontKey="{4D8C96BB-E987-4F60-AC81-5AF42754B3C9}"/>
  </w:font>
  <w:font w:name="楷体">
    <w:panose1 w:val="02010609060101010101"/>
    <w:charset w:val="86"/>
    <w:family w:val="modern"/>
    <w:pitch w:val="default"/>
    <w:sig w:usb0="800002BF" w:usb1="38CF7CFA" w:usb2="00000016" w:usb3="00000000" w:csb0="00040001" w:csb1="00000000"/>
    <w:embedRegular r:id="rId14" w:fontKey="{FE772752-43B3-45E6-8AA6-AE5E71FD9D63}"/>
  </w:font>
  <w:font w:name="仿宋">
    <w:panose1 w:val="02010609060101010101"/>
    <w:charset w:val="86"/>
    <w:family w:val="modern"/>
    <w:pitch w:val="default"/>
    <w:sig w:usb0="800002BF" w:usb1="38CF7CFA" w:usb2="00000016" w:usb3="00000000" w:csb0="00040001" w:csb1="00000000"/>
    <w:embedRegular r:id="rId15" w:fontKey="{0A8C4A10-A4D8-4375-9CE4-7994B3BEA674}"/>
  </w:font>
  <w:font w:name="___WRD_EMBED_SUB_48">
    <w:altName w:val="微软雅黑"/>
    <w:panose1 w:val="02010600030101010101"/>
    <w:charset w:val="86"/>
    <w:family w:val="modern"/>
    <w:pitch w:val="default"/>
    <w:sig w:usb0="00000000" w:usb1="00000000" w:usb2="00000000" w:usb3="00000000" w:csb0="00040000" w:csb1="00000000"/>
    <w:embedRegular r:id="rId16" w:fontKey="{A93B3923-0161-4F2F-958E-65C3AD53F896}"/>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17" w:fontKey="{5FC0AFAF-2117-4423-AB49-742F6128F0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v:path/>
          <v:fill on="f" focussize="0,0"/>
          <v:stroke on="f" weight="0.5pt" joinstyle="miter"/>
          <v:imagedata o:title=""/>
          <o:lock v:ext="edit"/>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华文新魏" w:eastAsia="华文新魏"/>
        <w:sz w:val="21"/>
        <w:szCs w:val="21"/>
      </w:rPr>
    </w:pPr>
    <w:r>
      <w:rPr>
        <w:rFonts w:hint="eastAsia" w:ascii="华文新魏" w:eastAsia="华文新魏"/>
        <w:sz w:val="21"/>
        <w:szCs w:val="21"/>
      </w:rPr>
      <w:t xml:space="preserve">                                              防城港市理工职业学校人才培养方案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4BD923"/>
    <w:multiLevelType w:val="singleLevel"/>
    <w:tmpl w:val="B74BD923"/>
    <w:lvl w:ilvl="0" w:tentative="0">
      <w:start w:val="4"/>
      <w:numFmt w:val="chineseCounting"/>
      <w:suff w:val="nothing"/>
      <w:lvlText w:val="%1、"/>
      <w:lvlJc w:val="left"/>
      <w:rPr>
        <w:rFonts w:hint="eastAsia"/>
      </w:rPr>
    </w:lvl>
  </w:abstractNum>
  <w:abstractNum w:abstractNumId="1">
    <w:nsid w:val="FACCA352"/>
    <w:multiLevelType w:val="singleLevel"/>
    <w:tmpl w:val="FACCA352"/>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63280"/>
    <w:rsid w:val="000C5D32"/>
    <w:rsid w:val="00172A27"/>
    <w:rsid w:val="00177F3A"/>
    <w:rsid w:val="00182A1A"/>
    <w:rsid w:val="00255798"/>
    <w:rsid w:val="002605C5"/>
    <w:rsid w:val="0029568F"/>
    <w:rsid w:val="002F26F3"/>
    <w:rsid w:val="00363774"/>
    <w:rsid w:val="003D31B7"/>
    <w:rsid w:val="003D7C62"/>
    <w:rsid w:val="0040575C"/>
    <w:rsid w:val="0048738D"/>
    <w:rsid w:val="00516210"/>
    <w:rsid w:val="00677416"/>
    <w:rsid w:val="006E62AA"/>
    <w:rsid w:val="006F0775"/>
    <w:rsid w:val="007155AC"/>
    <w:rsid w:val="00780FC5"/>
    <w:rsid w:val="007B2A1B"/>
    <w:rsid w:val="00804D1E"/>
    <w:rsid w:val="0085388D"/>
    <w:rsid w:val="0095667B"/>
    <w:rsid w:val="00986664"/>
    <w:rsid w:val="009A01D1"/>
    <w:rsid w:val="00A471D4"/>
    <w:rsid w:val="00AB3FA2"/>
    <w:rsid w:val="00AF1AAA"/>
    <w:rsid w:val="00AF2973"/>
    <w:rsid w:val="00B24233"/>
    <w:rsid w:val="00BA79D4"/>
    <w:rsid w:val="00BE639F"/>
    <w:rsid w:val="00C0062C"/>
    <w:rsid w:val="00C16B3E"/>
    <w:rsid w:val="00C23BB1"/>
    <w:rsid w:val="00D00212"/>
    <w:rsid w:val="00D17398"/>
    <w:rsid w:val="00D86477"/>
    <w:rsid w:val="00D95DC7"/>
    <w:rsid w:val="00DC6E48"/>
    <w:rsid w:val="00E25BDA"/>
    <w:rsid w:val="00E7508A"/>
    <w:rsid w:val="00F3316D"/>
    <w:rsid w:val="00F47DD7"/>
    <w:rsid w:val="00FA288E"/>
    <w:rsid w:val="02F6645A"/>
    <w:rsid w:val="043C6FE8"/>
    <w:rsid w:val="04774B5F"/>
    <w:rsid w:val="06B72CA1"/>
    <w:rsid w:val="0A370B2E"/>
    <w:rsid w:val="0A7316DE"/>
    <w:rsid w:val="0B326691"/>
    <w:rsid w:val="0BF6697C"/>
    <w:rsid w:val="0DBB3146"/>
    <w:rsid w:val="0E3B7907"/>
    <w:rsid w:val="0F06763A"/>
    <w:rsid w:val="0F7D3AD3"/>
    <w:rsid w:val="10B83F37"/>
    <w:rsid w:val="11294614"/>
    <w:rsid w:val="13012927"/>
    <w:rsid w:val="130E2171"/>
    <w:rsid w:val="14816911"/>
    <w:rsid w:val="14E77B2F"/>
    <w:rsid w:val="15CE709C"/>
    <w:rsid w:val="164B4762"/>
    <w:rsid w:val="186042B4"/>
    <w:rsid w:val="18683DBE"/>
    <w:rsid w:val="1A534742"/>
    <w:rsid w:val="1D054CBB"/>
    <w:rsid w:val="1E43174F"/>
    <w:rsid w:val="1FB400C8"/>
    <w:rsid w:val="2228539D"/>
    <w:rsid w:val="223878F6"/>
    <w:rsid w:val="23F86BEB"/>
    <w:rsid w:val="24855C51"/>
    <w:rsid w:val="27E55309"/>
    <w:rsid w:val="28177487"/>
    <w:rsid w:val="29140BE1"/>
    <w:rsid w:val="299D40AC"/>
    <w:rsid w:val="2A89386A"/>
    <w:rsid w:val="2CF4219A"/>
    <w:rsid w:val="2DCB0171"/>
    <w:rsid w:val="30511D84"/>
    <w:rsid w:val="31573BB9"/>
    <w:rsid w:val="32DD2966"/>
    <w:rsid w:val="333739EF"/>
    <w:rsid w:val="34687067"/>
    <w:rsid w:val="34C91D42"/>
    <w:rsid w:val="3736126E"/>
    <w:rsid w:val="376D3D3E"/>
    <w:rsid w:val="37F623C0"/>
    <w:rsid w:val="38B807FF"/>
    <w:rsid w:val="3A6314DF"/>
    <w:rsid w:val="3C075B4E"/>
    <w:rsid w:val="3D735510"/>
    <w:rsid w:val="3E884CFE"/>
    <w:rsid w:val="41571341"/>
    <w:rsid w:val="418274D6"/>
    <w:rsid w:val="419F7004"/>
    <w:rsid w:val="420C4B7C"/>
    <w:rsid w:val="46093694"/>
    <w:rsid w:val="4B451459"/>
    <w:rsid w:val="4BF25322"/>
    <w:rsid w:val="4E084ADC"/>
    <w:rsid w:val="4F981B71"/>
    <w:rsid w:val="506E7B39"/>
    <w:rsid w:val="536161A7"/>
    <w:rsid w:val="536F7074"/>
    <w:rsid w:val="540C6EBA"/>
    <w:rsid w:val="54DC2023"/>
    <w:rsid w:val="5753761C"/>
    <w:rsid w:val="578D3FEE"/>
    <w:rsid w:val="58475E1D"/>
    <w:rsid w:val="585F02C5"/>
    <w:rsid w:val="5B6E0FB7"/>
    <w:rsid w:val="5B9543B6"/>
    <w:rsid w:val="5BEB228C"/>
    <w:rsid w:val="5C4603B5"/>
    <w:rsid w:val="5CE0658E"/>
    <w:rsid w:val="5F3019A1"/>
    <w:rsid w:val="60565FE7"/>
    <w:rsid w:val="60782044"/>
    <w:rsid w:val="62254E7E"/>
    <w:rsid w:val="639B7DF4"/>
    <w:rsid w:val="645043B3"/>
    <w:rsid w:val="667E745D"/>
    <w:rsid w:val="672320BE"/>
    <w:rsid w:val="695B6CB3"/>
    <w:rsid w:val="69854E74"/>
    <w:rsid w:val="69A04319"/>
    <w:rsid w:val="6ADB557F"/>
    <w:rsid w:val="6B2366F8"/>
    <w:rsid w:val="6CF42AE1"/>
    <w:rsid w:val="6D0A5DF0"/>
    <w:rsid w:val="6D390454"/>
    <w:rsid w:val="6E6B13F5"/>
    <w:rsid w:val="6EB62E41"/>
    <w:rsid w:val="6EF61160"/>
    <w:rsid w:val="70695BDA"/>
    <w:rsid w:val="70B64B97"/>
    <w:rsid w:val="71574EF2"/>
    <w:rsid w:val="723E3639"/>
    <w:rsid w:val="735D0A38"/>
    <w:rsid w:val="75A14B74"/>
    <w:rsid w:val="76537C04"/>
    <w:rsid w:val="772D3929"/>
    <w:rsid w:val="777E1BCF"/>
    <w:rsid w:val="77D6694E"/>
    <w:rsid w:val="793F6962"/>
    <w:rsid w:val="7A7E17F5"/>
    <w:rsid w:val="7C0D10BA"/>
    <w:rsid w:val="7D7E2527"/>
    <w:rsid w:val="7EED4E0F"/>
    <w:rsid w:val="7F904C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0"/>
    <w:pPr>
      <w:keepNext/>
      <w:keepLines/>
      <w:spacing w:after="60" w:line="550" w:lineRule="exact"/>
      <w:jc w:val="center"/>
      <w:outlineLvl w:val="0"/>
    </w:pPr>
    <w:rPr>
      <w:rFonts w:eastAsia="方正小标宋简体"/>
      <w:bCs/>
      <w:kern w:val="44"/>
      <w:sz w:val="36"/>
      <w:szCs w:val="44"/>
    </w:rPr>
  </w:style>
  <w:style w:type="paragraph" w:styleId="3">
    <w:name w:val="heading 4"/>
    <w:basedOn w:val="1"/>
    <w:next w:val="1"/>
    <w:link w:val="19"/>
    <w:qFormat/>
    <w:uiPriority w:val="0"/>
    <w:pPr>
      <w:keepNext/>
      <w:keepLines/>
      <w:spacing w:line="500" w:lineRule="exact"/>
      <w:ind w:firstLine="200" w:firstLineChars="200"/>
      <w:outlineLvl w:val="3"/>
    </w:pPr>
    <w:rPr>
      <w:rFonts w:ascii="宋体" w:hAnsi="Adobe 宋体 Std L"/>
      <w:b/>
      <w:bCs/>
      <w:sz w:val="28"/>
      <w:szCs w:val="28"/>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5">
    <w:name w:val="Plain Text"/>
    <w:basedOn w:val="1"/>
    <w:qFormat/>
    <w:uiPriority w:val="0"/>
    <w:rPr>
      <w:rFonts w:ascii="宋体" w:hAnsi="Courier New"/>
      <w:szCs w:val="20"/>
    </w:rPr>
  </w:style>
  <w:style w:type="paragraph" w:styleId="6">
    <w:name w:val="Balloon Text"/>
    <w:basedOn w:val="1"/>
    <w:link w:val="24"/>
    <w:qFormat/>
    <w:uiPriority w:val="0"/>
    <w:rPr>
      <w:sz w:val="18"/>
      <w:szCs w:val="18"/>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rPr>
  </w:style>
  <w:style w:type="paragraph" w:styleId="10">
    <w:name w:val="toc 2"/>
    <w:basedOn w:val="1"/>
    <w:next w:val="1"/>
    <w:unhideWhenUsed/>
    <w:qFormat/>
    <w:uiPriority w:val="39"/>
    <w:pPr>
      <w:widowControl/>
      <w:tabs>
        <w:tab w:val="right" w:leader="dot" w:pos="8920"/>
      </w:tabs>
      <w:spacing w:line="0" w:lineRule="atLeast"/>
      <w:ind w:left="221"/>
      <w:jc w:val="left"/>
    </w:pPr>
    <w:rPr>
      <w:rFonts w:asciiTheme="minorHAnsi" w:hAnsiTheme="minorHAnsi" w:eastAsiaTheme="minorEastAsia"/>
      <w:kern w:val="0"/>
      <w:sz w:val="22"/>
    </w:rPr>
  </w:style>
  <w:style w:type="paragraph" w:styleId="11">
    <w:name w:val="Normal (Web)"/>
    <w:basedOn w:val="1"/>
    <w:qFormat/>
    <w:uiPriority w:val="99"/>
    <w:pPr>
      <w:widowControl/>
      <w:spacing w:before="100" w:beforeAutospacing="1" w:after="100" w:afterAutospacing="1"/>
      <w:jc w:val="left"/>
    </w:pPr>
    <w:rPr>
      <w:rFonts w:ascii="宋体" w:hAnsi="宋体"/>
      <w:kern w:val="0"/>
      <w:sz w:val="24"/>
    </w:rPr>
  </w:style>
  <w:style w:type="paragraph" w:styleId="12">
    <w:name w:val="Title"/>
    <w:basedOn w:val="1"/>
    <w:next w:val="1"/>
    <w:qFormat/>
    <w:uiPriority w:val="0"/>
    <w:pPr>
      <w:spacing w:before="240" w:after="60"/>
      <w:jc w:val="center"/>
      <w:outlineLvl w:val="0"/>
    </w:pPr>
    <w:rPr>
      <w:rFonts w:ascii="Cambria" w:hAnsi="Cambria" w:cstheme="minorBidi"/>
      <w:b/>
      <w:bCs/>
      <w:sz w:val="32"/>
      <w:szCs w:val="32"/>
      <w:lang w:bidi="he-IL"/>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yperlink"/>
    <w:qFormat/>
    <w:uiPriority w:val="99"/>
    <w:rPr>
      <w:color w:val="0000FF"/>
      <w:u w:val="single"/>
    </w:rPr>
  </w:style>
  <w:style w:type="paragraph" w:customStyle="1" w:styleId="17">
    <w:name w:val="样式1"/>
    <w:basedOn w:val="1"/>
    <w:qFormat/>
    <w:uiPriority w:val="0"/>
    <w:rPr>
      <w:szCs w:val="20"/>
    </w:rPr>
  </w:style>
  <w:style w:type="paragraph" w:styleId="18">
    <w:name w:val="List Paragraph"/>
    <w:basedOn w:val="1"/>
    <w:qFormat/>
    <w:uiPriority w:val="0"/>
    <w:pPr>
      <w:ind w:firstLine="420"/>
    </w:pPr>
  </w:style>
  <w:style w:type="character" w:customStyle="1" w:styleId="19">
    <w:name w:val="标题 4 Char"/>
    <w:basedOn w:val="15"/>
    <w:link w:val="3"/>
    <w:qFormat/>
    <w:uiPriority w:val="0"/>
    <w:rPr>
      <w:rFonts w:ascii="宋体" w:hAnsi="Adobe 宋体 Std L"/>
      <w:b/>
      <w:bCs/>
      <w:sz w:val="28"/>
      <w:szCs w:val="28"/>
    </w:rPr>
  </w:style>
  <w:style w:type="character" w:customStyle="1" w:styleId="20">
    <w:name w:val="标题 1 Char"/>
    <w:link w:val="2"/>
    <w:qFormat/>
    <w:uiPriority w:val="0"/>
    <w:rPr>
      <w:rFonts w:eastAsia="方正小标宋简体"/>
      <w:bCs/>
      <w:kern w:val="44"/>
      <w:sz w:val="36"/>
      <w:szCs w:val="44"/>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E75B5" w:themeColor="accent1" w:themeShade="BF"/>
      <w:kern w:val="0"/>
      <w:sz w:val="32"/>
      <w:szCs w:val="32"/>
    </w:rPr>
  </w:style>
  <w:style w:type="character" w:customStyle="1" w:styleId="22">
    <w:name w:val="font01"/>
    <w:basedOn w:val="15"/>
    <w:qFormat/>
    <w:uiPriority w:val="0"/>
    <w:rPr>
      <w:rFonts w:hint="eastAsia" w:ascii="宋体" w:hAnsi="宋体" w:eastAsia="宋体" w:cs="宋体"/>
      <w:color w:val="000000"/>
      <w:sz w:val="18"/>
      <w:szCs w:val="18"/>
      <w:u w:val="none"/>
    </w:rPr>
  </w:style>
  <w:style w:type="character" w:customStyle="1" w:styleId="23">
    <w:name w:val="font51"/>
    <w:basedOn w:val="15"/>
    <w:qFormat/>
    <w:uiPriority w:val="0"/>
    <w:rPr>
      <w:rFonts w:hint="eastAsia" w:ascii="宋体" w:hAnsi="宋体" w:eastAsia="宋体" w:cs="宋体"/>
      <w:color w:val="000000"/>
      <w:sz w:val="18"/>
      <w:szCs w:val="18"/>
      <w:u w:val="none"/>
    </w:rPr>
  </w:style>
  <w:style w:type="character" w:customStyle="1" w:styleId="24">
    <w:name w:val="批注框文本 Char"/>
    <w:basedOn w:val="15"/>
    <w:link w:val="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208852-351D-4423-941F-8AAD94531EB5}">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24</Pages>
  <Words>1748</Words>
  <Characters>9968</Characters>
  <Lines>83</Lines>
  <Paragraphs>23</Paragraphs>
  <TotalTime>5</TotalTime>
  <ScaleCrop>false</ScaleCrop>
  <LinksUpToDate>false</LinksUpToDate>
  <CharactersWithSpaces>11693</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2021-11-15T08:44:00Z</dcterms:created>
  <dc:creator>seven</dc:creator>
  <cp:lastModifiedBy>1010</cp:lastModifiedBy>
  <cp:lastPrinted>2021-11-17T10:56:00Z</cp:lastPrinted>
  <dcterms:modified xsi:type="dcterms:W3CDTF">2022-01-23T02:12:18Z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670A3FBCE60E44858CB619A99DCBEE79</vt:lpwstr>
  </property>
  <property fmtid="{D5CDD505-2E9C-101B-9397-08002B2CF9AE}" pid="4" name="KSOSaveFontToCloudKey">
    <vt:lpwstr>772103058_embed</vt:lpwstr>
  </property>
</Properties>
</file>