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8441"/>
      <w:bookmarkStart w:id="4" w:name="_Toc15396597"/>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426"/>
      <w:bookmarkStart w:id="8" w:name="_Toc15396598"/>
      <w:bookmarkStart w:id="9" w:name="_Toc15396476"/>
      <w:bookmarkStart w:id="10" w:name="_Toc15377194"/>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攀枝花市建筑工程学校单位决算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公开时间：2022年9月13日</w:t>
      </w:r>
    </w:p>
    <w:p/>
    <w:p>
      <w:pPr>
        <w:pStyle w:val="10"/>
        <w:adjustRightInd w:val="0"/>
        <w:snapToGrid w:val="0"/>
        <w:spacing w:before="0" w:line="440" w:lineRule="exact"/>
        <w:jc w:val="left"/>
        <w:rPr>
          <w:rFonts w:cstheme="minorBidi"/>
          <w:b/>
          <w:bCs/>
          <w:sz w:val="24"/>
          <w:szCs w:val="24"/>
        </w:rPr>
      </w:pPr>
      <w:r>
        <w:rPr>
          <w:rFonts w:hint="eastAsia"/>
          <w:b/>
          <w:bCs/>
          <w:sz w:val="24"/>
        </w:rPr>
        <w:t>第一部分单位概况</w:t>
      </w:r>
      <w:r>
        <w:rPr>
          <w:rFonts w:hint="eastAsia" w:ascii="Times New Roman" w:hAnsi="Times New Roman" w:eastAsia="宋体"/>
          <w:b/>
          <w:bCs/>
          <w:sz w:val="24"/>
          <w:szCs w:val="24"/>
        </w:rPr>
        <w:t>..............................................................................................</w:t>
      </w:r>
      <w:r>
        <w:rPr>
          <w:rFonts w:hint="eastAsia"/>
          <w:bCs/>
          <w:sz w:val="24"/>
        </w:rPr>
        <w:t>4</w:t>
      </w:r>
    </w:p>
    <w:p>
      <w:pPr>
        <w:pStyle w:val="11"/>
        <w:adjustRightInd w:val="0"/>
        <w:snapToGrid w:val="0"/>
        <w:spacing w:line="440" w:lineRule="exact"/>
        <w:jc w:val="left"/>
        <w:rPr>
          <w:sz w:val="24"/>
        </w:rPr>
      </w:pPr>
      <w:r>
        <w:rPr>
          <w:rFonts w:hint="eastAsia" w:ascii="仿宋" w:hAnsi="仿宋" w:eastAsia="仿宋"/>
          <w:sz w:val="24"/>
          <w:szCs w:val="28"/>
        </w:rPr>
        <w:t>一．职能简介.</w:t>
      </w:r>
      <w:r>
        <w:rPr>
          <w:rFonts w:hint="eastAsia"/>
          <w:sz w:val="24"/>
        </w:rPr>
        <w:t>..............................................................................................</w:t>
      </w:r>
      <w:r>
        <w:rPr>
          <w:rFonts w:hint="eastAsia" w:ascii="仿宋" w:hAnsi="仿宋" w:eastAsia="仿宋" w:cs="仿宋"/>
          <w:sz w:val="24"/>
        </w:rPr>
        <w:t>4</w:t>
      </w:r>
    </w:p>
    <w:p>
      <w:pPr>
        <w:pStyle w:val="11"/>
        <w:adjustRightInd w:val="0"/>
        <w:snapToGrid w:val="0"/>
        <w:spacing w:line="440" w:lineRule="exact"/>
        <w:jc w:val="left"/>
        <w:rPr>
          <w:rFonts w:hint="eastAsia" w:ascii="仿宋" w:hAnsi="仿宋" w:eastAsia="仿宋"/>
          <w:bCs/>
          <w:sz w:val="24"/>
          <w:szCs w:val="28"/>
        </w:rPr>
      </w:pPr>
      <w:r>
        <w:rPr>
          <w:rFonts w:hint="eastAsia" w:ascii="仿宋" w:hAnsi="仿宋" w:eastAsia="仿宋"/>
          <w:sz w:val="24"/>
          <w:szCs w:val="28"/>
        </w:rPr>
        <w:t>二．2021年重点工作完成情况</w:t>
      </w:r>
      <w:r>
        <w:rPr>
          <w:rFonts w:hint="eastAsia"/>
          <w:sz w:val="24"/>
        </w:rPr>
        <w:t>...................................................................</w:t>
      </w:r>
      <w:r>
        <w:rPr>
          <w:rFonts w:hint="eastAsia" w:ascii="仿宋" w:hAnsi="仿宋" w:eastAsia="仿宋"/>
          <w:bCs/>
          <w:sz w:val="24"/>
          <w:szCs w:val="28"/>
        </w:rPr>
        <w:t>4</w:t>
      </w:r>
    </w:p>
    <w:p>
      <w:pPr>
        <w:pStyle w:val="11"/>
        <w:adjustRightInd w:val="0"/>
        <w:snapToGrid w:val="0"/>
        <w:spacing w:line="440" w:lineRule="exact"/>
        <w:jc w:val="left"/>
        <w:rPr>
          <w:rFonts w:hint="eastAsia" w:eastAsia="宋体"/>
          <w:lang w:val="en-US" w:eastAsia="zh-CN"/>
        </w:rPr>
      </w:pPr>
      <w:r>
        <w:rPr>
          <w:rFonts w:hint="eastAsia" w:ascii="仿宋" w:hAnsi="仿宋" w:eastAsia="仿宋"/>
          <w:sz w:val="24"/>
          <w:szCs w:val="28"/>
          <w:lang w:eastAsia="zh-CN"/>
        </w:rPr>
        <w:t>三</w:t>
      </w:r>
      <w:r>
        <w:rPr>
          <w:rFonts w:hint="eastAsia" w:ascii="仿宋" w:hAnsi="仿宋" w:eastAsia="仿宋"/>
          <w:sz w:val="24"/>
          <w:szCs w:val="28"/>
        </w:rPr>
        <w:t>．</w:t>
      </w:r>
      <w:r>
        <w:rPr>
          <w:rFonts w:hint="eastAsia" w:ascii="仿宋" w:hAnsi="仿宋" w:eastAsia="仿宋"/>
          <w:sz w:val="24"/>
          <w:szCs w:val="28"/>
          <w:lang w:eastAsia="zh-CN"/>
        </w:rPr>
        <w:t>机构设置</w:t>
      </w:r>
      <w:r>
        <w:rPr>
          <w:rFonts w:hint="eastAsia"/>
          <w:sz w:val="24"/>
        </w:rPr>
        <w:t>................................................................................................</w:t>
      </w:r>
      <w:r>
        <w:rPr>
          <w:rFonts w:hint="eastAsia" w:ascii="仿宋" w:hAnsi="仿宋" w:eastAsia="仿宋"/>
          <w:bCs/>
          <w:sz w:val="24"/>
          <w:szCs w:val="28"/>
          <w:lang w:val="en-US" w:eastAsia="zh-CN"/>
        </w:rPr>
        <w:t>5</w:t>
      </w:r>
    </w:p>
    <w:p>
      <w:pPr>
        <w:pStyle w:val="10"/>
        <w:adjustRightInd w:val="0"/>
        <w:snapToGrid w:val="0"/>
        <w:spacing w:before="0" w:line="440" w:lineRule="exact"/>
        <w:jc w:val="left"/>
        <w:rPr>
          <w:rFonts w:ascii="Times New Roman" w:hAnsi="Times New Roman" w:eastAsia="宋体"/>
          <w:b/>
          <w:bCs/>
          <w:sz w:val="24"/>
          <w:szCs w:val="24"/>
        </w:rPr>
      </w:pPr>
      <w:r>
        <w:rPr>
          <w:rFonts w:hint="eastAsia"/>
          <w:b/>
          <w:bCs/>
          <w:sz w:val="24"/>
        </w:rPr>
        <w:t>第二部分 2021年度单位决算情况说明</w:t>
      </w:r>
      <w:r>
        <w:rPr>
          <w:rFonts w:hint="eastAsia" w:ascii="Times New Roman" w:hAnsi="Times New Roman" w:eastAsia="宋体"/>
          <w:b/>
          <w:bCs/>
          <w:sz w:val="24"/>
          <w:szCs w:val="24"/>
        </w:rPr>
        <w:t>...........................................................</w:t>
      </w:r>
      <w:r>
        <w:rPr>
          <w:rFonts w:hint="eastAsia"/>
          <w:bCs/>
          <w:sz w:val="24"/>
        </w:rPr>
        <w:t>6</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一．收入支出决算总体情况说明</w:t>
      </w:r>
      <w:r>
        <w:rPr>
          <w:rFonts w:hint="eastAsia"/>
          <w:sz w:val="24"/>
        </w:rPr>
        <w:t>................................................................</w:t>
      </w:r>
      <w:r>
        <w:rPr>
          <w:rFonts w:hint="eastAsia" w:ascii="仿宋" w:hAnsi="仿宋" w:eastAsia="仿宋"/>
          <w:bCs/>
          <w:sz w:val="24"/>
          <w:szCs w:val="28"/>
        </w:rPr>
        <w:t>6</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二．收入决算情况说明.</w:t>
      </w:r>
      <w:r>
        <w:rPr>
          <w:rFonts w:hint="eastAsia"/>
          <w:sz w:val="24"/>
        </w:rPr>
        <w:t>..............................................................................</w:t>
      </w:r>
      <w:r>
        <w:rPr>
          <w:rFonts w:hint="eastAsia" w:ascii="仿宋" w:hAnsi="仿宋" w:eastAsia="仿宋"/>
          <w:bCs/>
          <w:sz w:val="24"/>
          <w:szCs w:val="28"/>
        </w:rPr>
        <w:t>7</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三．支出决算情况说明</w:t>
      </w:r>
      <w:r>
        <w:rPr>
          <w:rFonts w:hint="eastAsia"/>
          <w:sz w:val="24"/>
        </w:rPr>
        <w:t>................................................................................</w:t>
      </w:r>
      <w:r>
        <w:rPr>
          <w:rFonts w:hint="eastAsia" w:ascii="仿宋" w:hAnsi="仿宋" w:eastAsia="仿宋"/>
          <w:bCs/>
          <w:sz w:val="24"/>
          <w:szCs w:val="28"/>
        </w:rPr>
        <w:t>7</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四．财政拨款收入支出决算总体情况说明</w:t>
      </w:r>
      <w:r>
        <w:rPr>
          <w:rFonts w:hint="eastAsia"/>
          <w:sz w:val="24"/>
        </w:rPr>
        <w:t>................................................</w:t>
      </w:r>
      <w:r>
        <w:rPr>
          <w:rFonts w:hint="eastAsia" w:ascii="仿宋" w:hAnsi="仿宋" w:eastAsia="仿宋"/>
          <w:bCs/>
          <w:sz w:val="24"/>
          <w:szCs w:val="28"/>
        </w:rPr>
        <w:t>8</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五．一般公共预算财政拨款支出决算情况说明</w:t>
      </w:r>
      <w:r>
        <w:rPr>
          <w:rFonts w:hint="eastAsia"/>
          <w:sz w:val="24"/>
        </w:rPr>
        <w:t>........................................</w:t>
      </w:r>
      <w:r>
        <w:rPr>
          <w:rFonts w:hint="eastAsia" w:ascii="仿宋" w:hAnsi="仿宋" w:eastAsia="仿宋"/>
          <w:bCs/>
          <w:sz w:val="24"/>
          <w:szCs w:val="28"/>
        </w:rPr>
        <w:t>9</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六．一般公共预算财政拨款基本支出决算情况说明</w:t>
      </w:r>
      <w:r>
        <w:rPr>
          <w:rFonts w:hint="eastAsia"/>
          <w:sz w:val="24"/>
        </w:rPr>
        <w:t>................................</w:t>
      </w:r>
      <w:r>
        <w:rPr>
          <w:rFonts w:hint="eastAsia" w:ascii="仿宋" w:hAnsi="仿宋" w:eastAsia="仿宋"/>
          <w:bCs/>
          <w:sz w:val="24"/>
          <w:szCs w:val="28"/>
        </w:rPr>
        <w:t>11</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七．“三公”经费财政拨款支出决算情况说明.</w:t>
      </w:r>
      <w:r>
        <w:rPr>
          <w:rFonts w:hint="eastAsia"/>
          <w:sz w:val="24"/>
        </w:rPr>
        <w:t>........................................</w:t>
      </w:r>
      <w:r>
        <w:rPr>
          <w:rFonts w:hint="eastAsia" w:ascii="仿宋" w:hAnsi="仿宋" w:eastAsia="仿宋"/>
          <w:bCs/>
          <w:sz w:val="24"/>
          <w:szCs w:val="28"/>
        </w:rPr>
        <w:t>12</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八．政府性基金预算支出决算情况说明</w:t>
      </w:r>
      <w:r>
        <w:rPr>
          <w:rFonts w:hint="eastAsia"/>
          <w:sz w:val="24"/>
        </w:rPr>
        <w:t>....................................................</w:t>
      </w:r>
      <w:r>
        <w:rPr>
          <w:rFonts w:hint="eastAsia" w:ascii="仿宋" w:hAnsi="仿宋" w:eastAsia="仿宋"/>
          <w:bCs/>
          <w:sz w:val="24"/>
          <w:szCs w:val="28"/>
        </w:rPr>
        <w:t>14</w:t>
      </w:r>
    </w:p>
    <w:p>
      <w:pPr>
        <w:pStyle w:val="11"/>
        <w:adjustRightInd w:val="0"/>
        <w:snapToGrid w:val="0"/>
        <w:spacing w:line="440" w:lineRule="exact"/>
        <w:jc w:val="left"/>
        <w:rPr>
          <w:sz w:val="24"/>
        </w:rPr>
      </w:pPr>
      <w:r>
        <w:rPr>
          <w:rFonts w:hint="eastAsia" w:ascii="仿宋" w:hAnsi="仿宋" w:eastAsia="仿宋"/>
          <w:sz w:val="24"/>
          <w:szCs w:val="28"/>
        </w:rPr>
        <w:t>九．国有资本经营预算支出决算情况说明.</w:t>
      </w:r>
      <w:r>
        <w:rPr>
          <w:rFonts w:hint="eastAsia"/>
          <w:sz w:val="24"/>
        </w:rPr>
        <w:t>..............................................</w:t>
      </w:r>
      <w:r>
        <w:rPr>
          <w:rFonts w:hint="eastAsia" w:ascii="仿宋" w:hAnsi="仿宋" w:eastAsia="仿宋"/>
          <w:bCs/>
          <w:sz w:val="24"/>
          <w:szCs w:val="28"/>
        </w:rPr>
        <w:t>14</w:t>
      </w:r>
    </w:p>
    <w:p>
      <w:pPr>
        <w:pStyle w:val="11"/>
        <w:adjustRightInd w:val="0"/>
        <w:snapToGrid w:val="0"/>
        <w:spacing w:line="440" w:lineRule="exact"/>
        <w:jc w:val="left"/>
        <w:rPr>
          <w:sz w:val="24"/>
        </w:rPr>
      </w:pPr>
      <w:r>
        <w:rPr>
          <w:rFonts w:hint="eastAsia" w:ascii="仿宋" w:hAnsi="仿宋" w:eastAsia="仿宋"/>
          <w:sz w:val="24"/>
          <w:szCs w:val="28"/>
        </w:rPr>
        <w:t>十．其他重要事项的情况说明</w:t>
      </w:r>
      <w:r>
        <w:rPr>
          <w:rFonts w:hint="eastAsia"/>
          <w:sz w:val="24"/>
        </w:rPr>
        <w:t>....................................................................</w:t>
      </w:r>
      <w:r>
        <w:rPr>
          <w:rFonts w:hint="eastAsia" w:ascii="仿宋" w:hAnsi="仿宋" w:eastAsia="仿宋"/>
          <w:bCs/>
          <w:sz w:val="24"/>
          <w:szCs w:val="28"/>
        </w:rPr>
        <w:t>14</w:t>
      </w:r>
    </w:p>
    <w:p>
      <w:pPr>
        <w:pStyle w:val="10"/>
        <w:adjustRightInd w:val="0"/>
        <w:snapToGrid w:val="0"/>
        <w:spacing w:before="0" w:line="440" w:lineRule="exact"/>
        <w:jc w:val="left"/>
        <w:rPr>
          <w:rFonts w:eastAsia="宋体" w:cstheme="minorBidi"/>
          <w:b/>
          <w:bCs/>
          <w:sz w:val="24"/>
          <w:szCs w:val="24"/>
        </w:rPr>
      </w:pPr>
      <w:r>
        <w:rPr>
          <w:rFonts w:hint="eastAsia"/>
          <w:b/>
          <w:bCs/>
          <w:sz w:val="24"/>
        </w:rPr>
        <w:t>第三部分名词解释</w:t>
      </w:r>
      <w:r>
        <w:rPr>
          <w:rFonts w:hint="eastAsia" w:ascii="Times New Roman" w:hAnsi="Times New Roman" w:eastAsia="宋体"/>
          <w:b/>
          <w:bCs/>
          <w:sz w:val="24"/>
          <w:szCs w:val="24"/>
        </w:rPr>
        <w:t>..............................................................................................</w:t>
      </w:r>
      <w:r>
        <w:rPr>
          <w:rFonts w:hint="eastAsia"/>
          <w:bCs/>
          <w:sz w:val="24"/>
        </w:rPr>
        <w:t>16</w:t>
      </w:r>
    </w:p>
    <w:p>
      <w:pPr>
        <w:pStyle w:val="10"/>
        <w:adjustRightInd w:val="0"/>
        <w:snapToGrid w:val="0"/>
        <w:spacing w:before="0" w:line="440" w:lineRule="exact"/>
        <w:jc w:val="left"/>
        <w:rPr>
          <w:rFonts w:eastAsia="宋体" w:cstheme="minorBidi"/>
          <w:b/>
          <w:bCs/>
          <w:sz w:val="24"/>
          <w:szCs w:val="24"/>
        </w:rPr>
      </w:pPr>
      <w:r>
        <w:rPr>
          <w:rFonts w:hint="eastAsia"/>
          <w:b/>
          <w:bCs/>
          <w:sz w:val="24"/>
        </w:rPr>
        <w:t>第四部分附件</w:t>
      </w:r>
      <w:r>
        <w:rPr>
          <w:rFonts w:hint="eastAsia" w:ascii="Times New Roman" w:hAnsi="Times New Roman" w:eastAsia="宋体"/>
          <w:b/>
          <w:bCs/>
          <w:sz w:val="24"/>
          <w:szCs w:val="24"/>
        </w:rPr>
        <w:t>......................................................................................................</w:t>
      </w:r>
      <w:r>
        <w:rPr>
          <w:rFonts w:hint="eastAsia"/>
          <w:bCs/>
          <w:sz w:val="24"/>
        </w:rPr>
        <w:t>19</w:t>
      </w:r>
    </w:p>
    <w:p>
      <w:pPr>
        <w:pStyle w:val="10"/>
        <w:adjustRightInd w:val="0"/>
        <w:snapToGrid w:val="0"/>
        <w:spacing w:before="0" w:line="440" w:lineRule="exact"/>
        <w:jc w:val="left"/>
        <w:rPr>
          <w:rFonts w:eastAsia="宋体" w:cstheme="minorBidi"/>
          <w:b/>
          <w:bCs/>
          <w:sz w:val="24"/>
          <w:szCs w:val="24"/>
        </w:rPr>
      </w:pPr>
      <w:r>
        <w:rPr>
          <w:rFonts w:hint="eastAsia"/>
          <w:b/>
          <w:bCs/>
          <w:sz w:val="24"/>
        </w:rPr>
        <w:t>第五部分附表</w:t>
      </w:r>
      <w:r>
        <w:rPr>
          <w:rFonts w:hint="eastAsia" w:ascii="Times New Roman" w:hAnsi="Times New Roman" w:eastAsia="宋体"/>
          <w:b/>
          <w:bCs/>
          <w:sz w:val="24"/>
          <w:szCs w:val="24"/>
        </w:rPr>
        <w:t>......................................................................................................</w:t>
      </w:r>
      <w:r>
        <w:rPr>
          <w:rFonts w:hint="eastAsia"/>
          <w:bCs/>
          <w:sz w:val="24"/>
        </w:rPr>
        <w:t>20</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一．收入支出决算总表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二．收入决算表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三．支出决算表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四．财政拨款收入支出决算总表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五．财政拨款支出决算明细表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六．一般公共预算财政拨款支出决算表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七．一般公共预算财政拨款支出决算明细表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八．一般公共预算财政拨款基本支出决算表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九．一般公共预算财政拨款项目支出决算表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十．一般公共预算财政拨款“三公”经费支出决算表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十一．政府性基金预算财政拨款收入支出决算表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十二．政府性基金预算财政拨款“三公”经费支出决算表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十三．国有资本经营预算财政拨款收入支出决算表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18"/>
          <w:rFonts w:hint="eastAsia" w:ascii="黑体" w:hAnsi="黑体" w:eastAsia="黑体"/>
          <w:b w:val="0"/>
          <w:bCs w:val="0"/>
        </w:rPr>
        <w:t>概况</w:t>
      </w:r>
      <w:bookmarkEnd w:id="12"/>
      <w:bookmarkEnd w:id="13"/>
    </w:p>
    <w:p>
      <w:pPr>
        <w:pStyle w:val="4"/>
        <w:rPr>
          <w:rStyle w:val="19"/>
          <w:rFonts w:ascii="黑体" w:hAnsi="黑体" w:eastAsia="黑体"/>
          <w:b w:val="0"/>
          <w:bCs w:val="0"/>
        </w:rPr>
      </w:pPr>
      <w:bookmarkStart w:id="14" w:name="_Toc15377197"/>
      <w:bookmarkStart w:id="15" w:name="_Toc15396600"/>
      <w:r>
        <w:rPr>
          <w:rStyle w:val="19"/>
          <w:rFonts w:hint="eastAsia" w:ascii="黑体" w:hAnsi="黑体" w:eastAsia="黑体"/>
          <w:b w:val="0"/>
          <w:bCs w:val="0"/>
        </w:rPr>
        <w:t>一.职能简介</w:t>
      </w:r>
    </w:p>
    <w:p>
      <w:pPr>
        <w:adjustRightInd w:val="0"/>
        <w:snapToGrid w:val="0"/>
        <w:spacing w:line="600" w:lineRule="exact"/>
        <w:jc w:val="left"/>
        <w:rPr>
          <w:rFonts w:hint="eastAsia" w:ascii="仿宋_GB2312" w:hAnsi="仿宋" w:eastAsia="仿宋_GB2312" w:cs="仿宋"/>
          <w:bCs/>
          <w:kern w:val="0"/>
          <w:sz w:val="32"/>
          <w:szCs w:val="32"/>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仿宋_GB2312" w:hAnsi="仿宋" w:eastAsia="仿宋_GB2312" w:cs="仿宋"/>
          <w:bCs/>
          <w:kern w:val="0"/>
          <w:sz w:val="32"/>
          <w:szCs w:val="32"/>
        </w:rPr>
        <w:t>1.市建筑工程学校创办于1978年，系攀枝花市政府主办、攀枝花市教育和体育局直属的公办学校，占地面积145亩，现有学生3000余人。</w:t>
      </w:r>
    </w:p>
    <w:p>
      <w:pPr>
        <w:adjustRightInd w:val="0"/>
        <w:snapToGrid w:val="0"/>
        <w:spacing w:line="600" w:lineRule="exact"/>
        <w:ind w:firstLine="720" w:firstLineChars="225"/>
        <w:rPr>
          <w:rFonts w:hint="eastAsia" w:ascii="仿宋_GB2312" w:hAnsi="仿宋" w:eastAsia="仿宋_GB2312" w:cs="仿宋"/>
          <w:bCs/>
          <w:kern w:val="0"/>
          <w:sz w:val="32"/>
          <w:szCs w:val="32"/>
        </w:rPr>
      </w:pPr>
      <w:r>
        <w:rPr>
          <w:rFonts w:hint="eastAsia" w:ascii="仿宋_GB2312" w:hAnsi="仿宋" w:eastAsia="仿宋_GB2312" w:cs="仿宋"/>
          <w:bCs/>
          <w:kern w:val="0"/>
          <w:sz w:val="32"/>
          <w:szCs w:val="32"/>
        </w:rPr>
        <w:t>2.机构情况，本单位为攀枝花市教育和体育局所属2级预算单位。</w:t>
      </w:r>
    </w:p>
    <w:p>
      <w:pPr>
        <w:adjustRightInd w:val="0"/>
        <w:snapToGrid w:val="0"/>
        <w:spacing w:line="600" w:lineRule="exact"/>
        <w:ind w:firstLine="720" w:firstLineChars="225"/>
        <w:rPr>
          <w:rFonts w:hint="eastAsia" w:ascii="仿宋_GB2312" w:hAnsi="仿宋" w:eastAsia="仿宋_GB2312" w:cs="仿宋"/>
          <w:bCs/>
          <w:kern w:val="0"/>
          <w:sz w:val="32"/>
          <w:szCs w:val="32"/>
        </w:rPr>
      </w:pPr>
      <w:r>
        <w:rPr>
          <w:rFonts w:hint="eastAsia" w:ascii="仿宋_GB2312" w:hAnsi="仿宋" w:eastAsia="仿宋_GB2312" w:cs="仿宋"/>
          <w:bCs/>
          <w:kern w:val="0"/>
          <w:sz w:val="32"/>
          <w:szCs w:val="32"/>
        </w:rPr>
        <w:t>3.人员情况，本单位年末共有在职教职工231人，其中编制内聘用人员8人，退休134人。在职教职工中高级讲师82人、各级各类骨干教师 43 人、全国优秀教师1人、黄炎培职业教育奖2人、攀枝花市名师1人、持有注册建筑师、高级会计师等执业资格的教师30人，企业工程技术人员、能工巧匠等兼职教师30人。</w:t>
      </w:r>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adjustRightInd w:val="0"/>
        <w:snapToGrid w:val="0"/>
        <w:spacing w:line="600" w:lineRule="exact"/>
        <w:ind w:firstLine="720" w:firstLineChars="225"/>
        <w:rPr>
          <w:rFonts w:ascii="仿宋_GB2312" w:hAnsi="仿宋" w:eastAsia="仿宋_GB2312" w:cs="仿宋"/>
          <w:bCs/>
          <w:kern w:val="0"/>
          <w:sz w:val="32"/>
          <w:szCs w:val="32"/>
        </w:rPr>
      </w:pPr>
      <w:r>
        <w:rPr>
          <w:rFonts w:hint="eastAsia" w:ascii="仿宋_GB2312" w:hAnsi="仿宋" w:eastAsia="仿宋_GB2312" w:cs="仿宋"/>
          <w:bCs/>
          <w:kern w:val="0"/>
          <w:sz w:val="32"/>
          <w:szCs w:val="32"/>
        </w:rPr>
        <w:t>保持国家示范专业1个、国家示范校重点建设专业4个，省级重点专业1个，市级示范专业3个。建筑工程施工专业建设“四川省示范专业”待验收。引入多元评价方式，聘请企业人员评价技能教学质量。理论考试与技能考试相结合，学生课程考试评价模式改革效果明显。</w:t>
      </w:r>
    </w:p>
    <w:p>
      <w:pPr>
        <w:adjustRightInd w:val="0"/>
        <w:snapToGrid w:val="0"/>
        <w:spacing w:line="600" w:lineRule="exact"/>
        <w:ind w:firstLine="720" w:firstLineChars="225"/>
        <w:rPr>
          <w:rFonts w:ascii="仿宋_GB2312" w:hAnsi="仿宋" w:eastAsia="仿宋_GB2312" w:cs="仿宋"/>
          <w:sz w:val="32"/>
          <w:szCs w:val="32"/>
        </w:rPr>
      </w:pPr>
      <w:r>
        <w:rPr>
          <w:rFonts w:hint="eastAsia" w:ascii="仿宋_GB2312" w:hAnsi="仿宋" w:eastAsia="仿宋_GB2312" w:cs="仿宋"/>
          <w:sz w:val="32"/>
          <w:szCs w:val="32"/>
        </w:rPr>
        <w:t>举行开题论证课题1项，开展课题专题研讨培训会4次。现有在研校级课题12项、市级课题2项、省级课题1项严格按课题方案实施</w:t>
      </w:r>
    </w:p>
    <w:p>
      <w:pPr>
        <w:adjustRightInd w:val="0"/>
        <w:snapToGrid w:val="0"/>
        <w:spacing w:line="600" w:lineRule="exact"/>
        <w:ind w:firstLine="720" w:firstLineChars="225"/>
        <w:rPr>
          <w:rFonts w:ascii="仿宋_GB2312" w:hAnsi="仿宋" w:eastAsia="仿宋_GB2312" w:cs="仿宋"/>
          <w:sz w:val="32"/>
          <w:szCs w:val="32"/>
        </w:rPr>
      </w:pPr>
      <w:r>
        <w:rPr>
          <w:rFonts w:hint="eastAsia" w:ascii="仿宋_GB2312" w:hAnsi="仿宋" w:eastAsia="仿宋_GB2312" w:cs="仿宋"/>
          <w:sz w:val="32"/>
          <w:szCs w:val="32"/>
        </w:rPr>
        <w:t>2021年全校升学报名考试412人，被相关高职院校录取387人，录取率为93.9%，五年制高职转录149人，全校整体升学率达95.5%。192名学生参加市级技能大赛22项，126人次学生获奖，其中21人获一等奖，48人获二等奖，57人获三等奖； 2021年26名学生参加了四川省中职学生专业技能比赛，20人获奖，其中获一等奖1个（2人）、二等奖2个（7人）、三等奖5个（11人）。</w:t>
      </w:r>
    </w:p>
    <w:p>
      <w:pPr>
        <w:ind w:firstLine="640" w:firstLineChars="200"/>
      </w:pPr>
      <w:r>
        <w:rPr>
          <w:rFonts w:hint="eastAsia" w:ascii="仿宋_GB2312" w:hAnsi="仿宋" w:eastAsia="仿宋_GB2312" w:cs="仿宋"/>
          <w:sz w:val="32"/>
          <w:szCs w:val="32"/>
        </w:rPr>
        <w:t>建设了数字校园信息化平台，组织开展了多媒体管理员技术培训，教师数字资源建设、微课制作培训，管理人员管理平台应用及信息建设培训，全面提升师生信息化意识和能力。完善教学、实训设备使用管理制度、实训教学大纲，设备使用率提高。利用信息化手段进行教育教学的学科覆盖率达100%，教师使用现代技术的课时达89.4%，实验、实训及功能室设备完好率达96.5%，使用率达96%，图书流通率达67.4%。</w:t>
      </w:r>
    </w:p>
    <w:p>
      <w:pPr>
        <w:pStyle w:val="4"/>
        <w:rPr>
          <w:rFonts w:hint="eastAsia" w:ascii="黑体" w:hAnsi="黑体" w:eastAsia="黑体"/>
          <w:b w:val="0"/>
          <w:lang w:eastAsia="zh-CN"/>
        </w:rPr>
      </w:pPr>
      <w:r>
        <w:rPr>
          <w:rFonts w:hint="eastAsia" w:ascii="黑体" w:hAnsi="黑体" w:eastAsia="黑体"/>
          <w:b w:val="0"/>
          <w:lang w:eastAsia="zh-CN"/>
        </w:rPr>
        <w:t>三</w:t>
      </w:r>
      <w:r>
        <w:rPr>
          <w:rFonts w:hint="eastAsia" w:ascii="黑体" w:hAnsi="黑体" w:eastAsia="黑体"/>
          <w:b w:val="0"/>
        </w:rPr>
        <w:t>.</w:t>
      </w:r>
      <w:r>
        <w:rPr>
          <w:rFonts w:hint="eastAsia" w:ascii="黑体" w:hAnsi="黑体" w:eastAsia="黑体"/>
          <w:b w:val="0"/>
          <w:lang w:eastAsia="zh-CN"/>
        </w:rPr>
        <w:t>机构设置</w:t>
      </w:r>
    </w:p>
    <w:p>
      <w:pPr>
        <w:widowControl/>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攀枝花市建筑工程学校属于</w:t>
      </w:r>
      <w:r>
        <w:rPr>
          <w:rFonts w:hint="eastAsia" w:ascii="仿宋_GB2312" w:hAnsi="仿宋" w:eastAsia="仿宋_GB2312" w:cs="仿宋"/>
          <w:sz w:val="32"/>
          <w:szCs w:val="32"/>
        </w:rPr>
        <w:t>攀枝花市教育和体育局</w:t>
      </w:r>
      <w:r>
        <w:rPr>
          <w:rFonts w:hint="eastAsia" w:ascii="仿宋_GB2312" w:hAnsi="仿宋" w:eastAsia="仿宋_GB2312" w:cs="仿宋"/>
          <w:sz w:val="32"/>
          <w:szCs w:val="32"/>
          <w:lang w:eastAsia="zh-CN"/>
        </w:rPr>
        <w:t>下</w:t>
      </w:r>
      <w:r>
        <w:rPr>
          <w:rFonts w:hint="eastAsia" w:ascii="仿宋_GB2312" w:hAnsi="仿宋" w:eastAsia="仿宋_GB2312" w:cs="仿宋"/>
          <w:sz w:val="32"/>
          <w:szCs w:val="32"/>
        </w:rPr>
        <w:t>属</w:t>
      </w:r>
      <w:r>
        <w:rPr>
          <w:rFonts w:hint="eastAsia" w:ascii="仿宋_GB2312" w:hAnsi="仿宋" w:eastAsia="仿宋_GB2312" w:cs="仿宋"/>
          <w:sz w:val="32"/>
          <w:szCs w:val="32"/>
          <w:lang w:eastAsia="zh-CN"/>
        </w:rPr>
        <w:t>的二</w:t>
      </w:r>
      <w:r>
        <w:rPr>
          <w:rFonts w:hint="eastAsia" w:ascii="仿宋_GB2312" w:hAnsi="仿宋" w:eastAsia="仿宋_GB2312" w:cs="仿宋"/>
          <w:sz w:val="32"/>
          <w:szCs w:val="32"/>
        </w:rPr>
        <w:t>级预算单位</w:t>
      </w:r>
      <w:r>
        <w:rPr>
          <w:rFonts w:hint="eastAsia" w:ascii="仿宋_GB2312" w:hAnsi="仿宋" w:eastAsia="仿宋_GB2312" w:cs="仿宋"/>
          <w:sz w:val="32"/>
          <w:szCs w:val="32"/>
          <w:lang w:eastAsia="zh-CN"/>
        </w:rPr>
        <w:t>，下设独立编制机构</w:t>
      </w:r>
      <w:r>
        <w:rPr>
          <w:rFonts w:hint="eastAsia" w:ascii="仿宋_GB2312" w:hAnsi="仿宋" w:eastAsia="仿宋_GB2312" w:cs="仿宋"/>
          <w:sz w:val="32"/>
          <w:szCs w:val="32"/>
          <w:lang w:val="en-US" w:eastAsia="zh-CN"/>
        </w:rPr>
        <w:t>0个，其中行政机构0个，参照公务员法管理的事业机构0个，其他事业机构0个。</w:t>
      </w:r>
    </w:p>
    <w:p>
      <w:pPr>
        <w:widowControl/>
        <w:jc w:val="left"/>
        <w:rPr>
          <w:rFonts w:hint="eastAsia" w:ascii="仿宋" w:hAnsi="仿宋" w:eastAsia="仿宋"/>
          <w:sz w:val="32"/>
          <w:szCs w:val="32"/>
          <w:lang w:eastAsia="zh-CN"/>
        </w:rPr>
      </w:pPr>
    </w:p>
    <w:p>
      <w:pPr>
        <w:widowControl/>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eastAsia="zh-CN"/>
        </w:rPr>
        <w:t>纳入</w:t>
      </w:r>
      <w:r>
        <w:rPr>
          <w:rFonts w:hint="eastAsia" w:ascii="仿宋" w:hAnsi="仿宋" w:eastAsia="仿宋"/>
          <w:sz w:val="32"/>
          <w:szCs w:val="32"/>
          <w:lang w:val="en-US" w:eastAsia="zh-CN"/>
        </w:rPr>
        <w:t>2021年度单位决算编制范围的独立编制机构包括：无</w:t>
      </w:r>
      <w:bookmarkStart w:id="16" w:name="_Toc15396602"/>
      <w:bookmarkStart w:id="17" w:name="_Toc15377204"/>
    </w:p>
    <w:p>
      <w:pPr>
        <w:widowControl/>
        <w:ind w:firstLine="880" w:firstLineChars="200"/>
        <w:jc w:val="center"/>
        <w:rPr>
          <w:rStyle w:val="18"/>
          <w:rFonts w:hint="eastAsia" w:ascii="黑体" w:hAnsi="黑体" w:eastAsia="黑体" w:cstheme="minorBidi"/>
          <w:b w:val="0"/>
          <w:bCs/>
        </w:rPr>
      </w:pPr>
      <w:r>
        <w:rPr>
          <w:rStyle w:val="18"/>
          <w:rFonts w:hint="eastAsia" w:ascii="黑体" w:hAnsi="黑体" w:eastAsia="黑体" w:cstheme="minorBidi"/>
          <w:b w:val="0"/>
          <w:bCs/>
        </w:rPr>
        <w:t>第二部分 2021年度单位决算情况说明</w:t>
      </w:r>
      <w:bookmarkEnd w:id="16"/>
      <w:bookmarkEnd w:id="17"/>
    </w:p>
    <w:p/>
    <w:p>
      <w:pPr>
        <w:pStyle w:val="28"/>
        <w:spacing w:line="600" w:lineRule="exact"/>
        <w:ind w:left="640" w:firstLine="0" w:firstLineChars="0"/>
        <w:outlineLvl w:val="1"/>
        <w:rPr>
          <w:rStyle w:val="19"/>
          <w:rFonts w:ascii="黑体" w:hAnsi="黑体" w:eastAsia="黑体"/>
          <w:b w:val="0"/>
        </w:rPr>
      </w:pPr>
      <w:bookmarkStart w:id="18" w:name="_Toc15377205"/>
      <w:bookmarkStart w:id="19" w:name="_Toc15396603"/>
      <w:r>
        <w:rPr>
          <w:rFonts w:hint="eastAsia" w:ascii="黑体" w:hAnsi="黑体" w:eastAsia="黑体"/>
          <w:sz w:val="32"/>
          <w:szCs w:val="32"/>
        </w:rPr>
        <w:t>一.收</w:t>
      </w:r>
      <w:r>
        <w:rPr>
          <w:rStyle w:val="19"/>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2021年度收、支总计6806.04万元。与2020年相比，收、支总计各减少2559.8万元，下降27.33</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。主要变动原因是2020年度支出教学实训大楼建设资金1898万元，以及政府采购2021年度已采购完成货物及劳务采购800万余元未支付采购款。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pPr>
    </w:p>
    <w:p>
      <w:pPr>
        <w:pStyle w:val="2"/>
        <w:spacing w:before="93"/>
      </w:pPr>
    </w:p>
    <w:p>
      <w:pPr>
        <w:pStyle w:val="28"/>
        <w:spacing w:line="600" w:lineRule="exact"/>
        <w:ind w:left="640" w:firstLine="0" w:firstLineChars="0"/>
        <w:outlineLvl w:val="1"/>
        <w:rPr>
          <w:rStyle w:val="19"/>
          <w:rFonts w:ascii="黑体" w:hAnsi="黑体" w:eastAsia="黑体"/>
          <w:b w:val="0"/>
        </w:rPr>
      </w:pPr>
      <w:bookmarkStart w:id="20" w:name="_Toc15396604"/>
      <w:bookmarkStart w:id="21" w:name="_Toc15377206"/>
      <w:r>
        <w:rPr>
          <w:rFonts w:hint="eastAsia" w:ascii="黑体" w:hAnsi="黑体" w:eastAsia="黑体"/>
          <w:sz w:val="32"/>
          <w:szCs w:val="32"/>
        </w:rPr>
        <w:t>二．收</w:t>
      </w:r>
      <w:r>
        <w:rPr>
          <w:rStyle w:val="19"/>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21年本年收入合计6496.34万元，其中：一般公共预算财政拨款收入6425.76万元，占99</w:t>
      </w:r>
      <w:r>
        <w:rPr>
          <w:rFonts w:ascii="仿宋" w:hAnsi="仿宋" w:eastAsia="仿宋"/>
          <w:sz w:val="32"/>
          <w:szCs w:val="32"/>
        </w:rPr>
        <w:t>%</w:t>
      </w:r>
      <w:r>
        <w:rPr>
          <w:rFonts w:hint="eastAsia" w:ascii="仿宋" w:hAnsi="仿宋" w:eastAsia="仿宋"/>
          <w:sz w:val="32"/>
          <w:szCs w:val="32"/>
        </w:rPr>
        <w:t>；政府性基金预算财政拨款收入0万元；国有资本经营预算财政拨款收入0万元，；上级补助收入0万元；事业收入0万元；经营收入0万元，；附属单位上缴收入0万元；其他收入70.58万元，占1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28"/>
        <w:spacing w:line="600" w:lineRule="exact"/>
        <w:ind w:left="640" w:firstLine="0" w:firstLineChars="0"/>
        <w:outlineLvl w:val="1"/>
        <w:rPr>
          <w:rStyle w:val="19"/>
          <w:rFonts w:ascii="黑体" w:hAnsi="黑体" w:eastAsia="黑体"/>
          <w:b w:val="0"/>
        </w:rPr>
      </w:pPr>
      <w:bookmarkStart w:id="22" w:name="_Toc15396605"/>
      <w:bookmarkStart w:id="23" w:name="_Toc15377207"/>
      <w:r>
        <w:rPr>
          <w:rFonts w:hint="eastAsia" w:ascii="黑体" w:hAnsi="黑体" w:eastAsia="黑体"/>
          <w:sz w:val="32"/>
          <w:szCs w:val="32"/>
        </w:rPr>
        <w:t>三.支</w:t>
      </w:r>
      <w:r>
        <w:rPr>
          <w:rStyle w:val="19"/>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21年本年支出合计6687.01万元，其中：基本支出6061.31万元，占91</w:t>
      </w:r>
      <w:r>
        <w:rPr>
          <w:rFonts w:ascii="仿宋" w:hAnsi="仿宋" w:eastAsia="仿宋"/>
          <w:sz w:val="32"/>
          <w:szCs w:val="32"/>
        </w:rPr>
        <w:t>%</w:t>
      </w:r>
      <w:r>
        <w:rPr>
          <w:rFonts w:hint="eastAsia" w:ascii="仿宋" w:hAnsi="仿宋" w:eastAsia="仿宋"/>
          <w:sz w:val="32"/>
          <w:szCs w:val="32"/>
        </w:rPr>
        <w:t>；项目支出625.70万元，占9</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pPr>
    </w:p>
    <w:p>
      <w:pPr>
        <w:spacing w:line="600" w:lineRule="exact"/>
        <w:ind w:firstLine="640" w:firstLineChars="200"/>
        <w:outlineLvl w:val="1"/>
        <w:rPr>
          <w:rStyle w:val="19"/>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19"/>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21年财政拨款收、支总计6687.01万元。与</w:t>
      </w:r>
      <w:r>
        <w:rPr>
          <w:rFonts w:ascii="仿宋" w:hAnsi="仿宋" w:eastAsia="仿宋"/>
          <w:sz w:val="32"/>
          <w:szCs w:val="32"/>
        </w:rPr>
        <w:t>20</w:t>
      </w:r>
      <w:r>
        <w:rPr>
          <w:rFonts w:hint="eastAsia" w:ascii="仿宋" w:hAnsi="仿宋" w:eastAsia="仿宋"/>
          <w:sz w:val="32"/>
          <w:szCs w:val="32"/>
        </w:rPr>
        <w:t>20年9246.80相比，财政拨款收、支总计各减少2559.79万元，下降27.68</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。主要变动原因是2020年度支出教学实训大楼建设资金1898万元，以及政府采购2021年度已采购完成货物及劳务采购800万余元未支付采购款。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spacing w:before="93"/>
      </w:pPr>
      <w:r>
        <w:rPr>
          <w:rFonts w:hint="eastAsia"/>
        </w:rPr>
        <w:drawing>
          <wp:inline distT="0" distB="0" distL="0" distR="0">
            <wp:extent cx="5105400" cy="3000375"/>
            <wp:effectExtent l="19050" t="0" r="18480" b="9354"/>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spacing w:line="600" w:lineRule="exact"/>
        <w:ind w:firstLine="640" w:firstLineChars="200"/>
        <w:outlineLvl w:val="1"/>
        <w:rPr>
          <w:rStyle w:val="1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1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21年一般公共预算财政拨款支出6687.01万元，占本年支出合计的100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20年8157.93相比，一般公共预算财政拨款支出减少1470.92万元，下降18.03</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ind w:firstLine="1050" w:firstLineChars="350"/>
      </w:pPr>
      <w:r>
        <w:rPr>
          <w:rFonts w:hint="eastAsia"/>
        </w:rPr>
        <w:drawing>
          <wp:inline distT="0" distB="0" distL="0" distR="0">
            <wp:extent cx="4027170" cy="1861185"/>
            <wp:effectExtent l="19050" t="0" r="11293" b="5247"/>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21年一般公共预算财政拨款支出6687.01万元，主要用于以下方面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支出0.28万元，占0.01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6277.18万元，占93.87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支出404.29万元，占6.04</w:t>
      </w:r>
      <w:r>
        <w:rPr>
          <w:rFonts w:ascii="仿宋" w:hAnsi="仿宋" w:eastAsia="仿宋"/>
          <w:sz w:val="32"/>
          <w:szCs w:val="32"/>
        </w:rPr>
        <w:t>%</w:t>
      </w:r>
      <w:r>
        <w:rPr>
          <w:rFonts w:hint="eastAsia" w:ascii="仿宋" w:hAnsi="仿宋" w:eastAsia="仿宋"/>
          <w:sz w:val="32"/>
          <w:szCs w:val="32"/>
        </w:rPr>
        <w:t>；住房保障支出(86号文聘用人员)5.27万元，占0.08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pStyle w:val="2"/>
        <w:spacing w:before="93"/>
      </w:pPr>
    </w:p>
    <w:p>
      <w:pPr>
        <w:pStyle w:val="2"/>
        <w:spacing w:before="93"/>
      </w:pPr>
    </w:p>
    <w:p>
      <w:pPr>
        <w:pStyle w:val="2"/>
        <w:spacing w:before="93"/>
        <w:ind w:firstLine="1050" w:firstLineChars="350"/>
      </w:pPr>
      <w:r>
        <w:rPr>
          <w:rFonts w:hint="eastAsia"/>
        </w:rPr>
        <w:drawing>
          <wp:inline distT="0" distB="0" distL="0" distR="0">
            <wp:extent cx="4273550" cy="3148330"/>
            <wp:effectExtent l="19050" t="0" r="12548" b="0"/>
            <wp:docPr id="1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2021年一般公共预算支出决算数为6687.01</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一般公共服务（类）组织事务（款）其他组织事务支出（项）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支出决算为0.28万元，完成预算100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教育（类）职业教育（款）中等职业教育（项）</w:t>
      </w:r>
      <w:r>
        <w:rPr>
          <w:rStyle w:val="14"/>
          <w:rFonts w:ascii="仿宋" w:hAnsi="仿宋" w:eastAsia="仿宋"/>
          <w:bCs/>
          <w:sz w:val="32"/>
          <w:szCs w:val="32"/>
        </w:rPr>
        <w:t>:</w:t>
      </w:r>
      <w:r>
        <w:rPr>
          <w:rStyle w:val="14"/>
          <w:rFonts w:hint="eastAsia" w:ascii="仿宋" w:hAnsi="仿宋" w:eastAsia="仿宋"/>
          <w:b w:val="0"/>
          <w:bCs/>
          <w:sz w:val="32"/>
          <w:szCs w:val="32"/>
        </w:rPr>
        <w:t>支出决算为6185.66万元，完成预算100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3.</w:t>
      </w:r>
      <w:r>
        <w:rPr>
          <w:rStyle w:val="14"/>
          <w:rFonts w:hint="eastAsia" w:ascii="仿宋" w:hAnsi="仿宋" w:eastAsia="仿宋"/>
          <w:bCs/>
          <w:sz w:val="32"/>
          <w:szCs w:val="32"/>
        </w:rPr>
        <w:t xml:space="preserve"> 教育（类）进修及培训（款）教师进修（项）</w:t>
      </w:r>
      <w:r>
        <w:rPr>
          <w:rStyle w:val="14"/>
          <w:rFonts w:ascii="仿宋" w:hAnsi="仿宋" w:eastAsia="仿宋"/>
          <w:bCs/>
          <w:sz w:val="32"/>
          <w:szCs w:val="32"/>
        </w:rPr>
        <w:t>:</w:t>
      </w:r>
      <w:r>
        <w:rPr>
          <w:rStyle w:val="14"/>
          <w:rFonts w:hint="eastAsia" w:ascii="仿宋" w:hAnsi="仿宋" w:eastAsia="仿宋"/>
          <w:b w:val="0"/>
          <w:bCs/>
          <w:sz w:val="32"/>
          <w:szCs w:val="32"/>
        </w:rPr>
        <w:t>支出决算为3万元，完成预算100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 xml:space="preserve"> 教育（类）教育费附加安排的支出（款）其他教育费附加安排的支出（项）</w:t>
      </w:r>
      <w:r>
        <w:rPr>
          <w:rStyle w:val="14"/>
          <w:rFonts w:ascii="仿宋" w:hAnsi="仿宋" w:eastAsia="仿宋"/>
          <w:bCs/>
          <w:sz w:val="32"/>
          <w:szCs w:val="32"/>
        </w:rPr>
        <w:t>:</w:t>
      </w:r>
      <w:r>
        <w:rPr>
          <w:rStyle w:val="14"/>
          <w:rFonts w:hint="eastAsia" w:ascii="仿宋" w:hAnsi="仿宋" w:eastAsia="仿宋"/>
          <w:b w:val="0"/>
          <w:bCs/>
          <w:sz w:val="32"/>
          <w:szCs w:val="32"/>
        </w:rPr>
        <w:t>支出决算为88.51万元，完成预算100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Style w:val="14"/>
          <w:rFonts w:hint="eastAsia" w:ascii="仿宋" w:hAnsi="仿宋" w:eastAsia="仿宋"/>
          <w:bCs/>
          <w:sz w:val="32"/>
          <w:szCs w:val="32"/>
        </w:rPr>
        <w:t>社会保障和就业（类）人力资源和社会保障管理事务（款）其他人力资源和社会保障管理事务支出（项）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支出决算为10.60万元，完成预算100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6.</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hint="eastAsia" w:ascii="仿宋" w:hAnsi="仿宋" w:eastAsia="仿宋"/>
          <w:b w:val="0"/>
          <w:bCs/>
          <w:sz w:val="32"/>
          <w:szCs w:val="32"/>
        </w:rPr>
        <w:t>支出决算为388.14万元，完成预算100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pStyle w:val="2"/>
        <w:spacing w:before="93"/>
        <w:ind w:firstLine="630" w:firstLineChars="196"/>
        <w:rPr>
          <w:rStyle w:val="14"/>
          <w:rFonts w:ascii="仿宋" w:hAnsi="仿宋" w:eastAsia="仿宋"/>
          <w:bCs/>
          <w:sz w:val="32"/>
          <w:szCs w:val="32"/>
        </w:rPr>
      </w:pPr>
      <w:r>
        <w:rPr>
          <w:rStyle w:val="14"/>
          <w:rFonts w:hint="eastAsia" w:ascii="仿宋" w:hAnsi="仿宋" w:eastAsia="仿宋"/>
          <w:bCs/>
          <w:sz w:val="32"/>
          <w:szCs w:val="32"/>
        </w:rPr>
        <w:t>7.社会保障和就业（类）抚恤（款）死亡抚恤（项）</w:t>
      </w:r>
      <w:r>
        <w:rPr>
          <w:rStyle w:val="14"/>
          <w:rFonts w:ascii="仿宋" w:hAnsi="仿宋" w:eastAsia="仿宋"/>
          <w:bCs/>
          <w:sz w:val="32"/>
          <w:szCs w:val="32"/>
        </w:rPr>
        <w:t>:</w:t>
      </w:r>
      <w:r>
        <w:rPr>
          <w:rStyle w:val="14"/>
          <w:rFonts w:hint="eastAsia" w:ascii="仿宋" w:hAnsi="仿宋" w:eastAsia="仿宋"/>
          <w:b w:val="0"/>
          <w:bCs/>
          <w:sz w:val="32"/>
          <w:szCs w:val="32"/>
        </w:rPr>
        <w:t>支出决算为5.55万元，完成预算100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pStyle w:val="2"/>
        <w:spacing w:before="93"/>
        <w:ind w:firstLine="630" w:firstLineChars="196"/>
        <w:rPr>
          <w:rStyle w:val="14"/>
          <w:rFonts w:ascii="仿宋" w:hAnsi="仿宋" w:eastAsia="仿宋"/>
          <w:bCs/>
          <w:sz w:val="32"/>
          <w:szCs w:val="32"/>
        </w:rPr>
      </w:pPr>
      <w:r>
        <w:rPr>
          <w:rStyle w:val="14"/>
          <w:rFonts w:hint="eastAsia" w:ascii="仿宋" w:hAnsi="仿宋" w:eastAsia="仿宋"/>
          <w:bCs/>
          <w:sz w:val="32"/>
          <w:szCs w:val="32"/>
        </w:rPr>
        <w:t>8.住房保障支出（类）住房改革支出（款）住房公积金（项）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支出决算为5.27万元，完成预算100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tabs>
          <w:tab w:val="right" w:pos="8306"/>
        </w:tabs>
        <w:spacing w:line="600" w:lineRule="exact"/>
        <w:ind w:firstLine="640"/>
        <w:outlineLvl w:val="1"/>
        <w:rPr>
          <w:rStyle w:val="19"/>
        </w:rPr>
      </w:pPr>
      <w:bookmarkStart w:id="34" w:name="_Toc15377214"/>
      <w:bookmarkStart w:id="35" w:name="_Toc15396608"/>
      <w:r>
        <w:rPr>
          <w:rFonts w:hint="eastAsia" w:ascii="黑体" w:eastAsia="黑体"/>
          <w:sz w:val="32"/>
          <w:szCs w:val="32"/>
        </w:rPr>
        <w:t>六．</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34"/>
      <w:bookmarkEnd w:id="35"/>
      <w:r>
        <w:rPr>
          <w:rStyle w:val="1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21年一般公共预算财政拨款基本支出6061.31万元，其中：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5011.13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1050.18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36" w:name="_Toc15396609"/>
      <w:bookmarkStart w:id="37" w:name="_Toc15377215"/>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21年“三公”经费财政拨款支出决算为3.93万元，完成预算92.69</w:t>
      </w:r>
      <w:r>
        <w:rPr>
          <w:rFonts w:ascii="仿宋" w:hAnsi="仿宋" w:eastAsia="仿宋"/>
          <w:sz w:val="32"/>
          <w:szCs w:val="32"/>
        </w:rPr>
        <w:t>%</w:t>
      </w:r>
      <w:r>
        <w:rPr>
          <w:rFonts w:hint="eastAsia" w:ascii="仿宋" w:hAnsi="仿宋" w:eastAsia="仿宋"/>
          <w:sz w:val="32"/>
          <w:szCs w:val="32"/>
        </w:rPr>
        <w:t>，决算数小于预算数的主要原因是公务车维修费未及时结算。</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21年“三公”经费财政拨款支出决算中，因公出国（境）费支出决算0万元；公务用车购置及运行维护费支出决算2.93万元，占74.55</w:t>
      </w:r>
      <w:r>
        <w:rPr>
          <w:rFonts w:ascii="仿宋" w:hAnsi="仿宋" w:eastAsia="仿宋"/>
          <w:sz w:val="32"/>
          <w:szCs w:val="32"/>
        </w:rPr>
        <w:t>%</w:t>
      </w:r>
      <w:r>
        <w:rPr>
          <w:rFonts w:hint="eastAsia" w:ascii="仿宋" w:hAnsi="仿宋" w:eastAsia="仿宋"/>
          <w:sz w:val="32"/>
          <w:szCs w:val="32"/>
        </w:rPr>
        <w:t>；公务接待费支出决算1万元，占25.45</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ind w:firstLine="1050" w:firstLineChars="350"/>
      </w:pPr>
      <w:r>
        <w:rPr>
          <w:rFonts w:hint="eastAsia"/>
        </w:rPr>
        <w:drawing>
          <wp:inline distT="0" distB="0" distL="0" distR="0">
            <wp:extent cx="4333240" cy="2233930"/>
            <wp:effectExtent l="19050" t="0" r="10031"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w:t>
      </w:r>
      <w:r>
        <w:rPr>
          <w:rStyle w:val="14"/>
          <w:rFonts w:hint="eastAsia" w:ascii="仿宋" w:hAnsi="仿宋" w:eastAsia="仿宋"/>
          <w:b w:val="0"/>
          <w:bCs/>
          <w:sz w:val="32"/>
          <w:szCs w:val="32"/>
        </w:rPr>
        <w:t>持平</w:t>
      </w:r>
      <w:r>
        <w:rPr>
          <w:rFonts w:hint="eastAsia" w:ascii="仿宋_GB2312" w:eastAsia="仿宋_GB2312"/>
          <w:sz w:val="32"/>
          <w:szCs w:val="32"/>
        </w:rPr>
        <w:t>。</w:t>
      </w:r>
    </w:p>
    <w:p>
      <w:pPr>
        <w:spacing w:line="600" w:lineRule="exact"/>
        <w:ind w:firstLine="640"/>
        <w:rPr>
          <w:rFonts w:hint="eastAsia" w:ascii="仿宋_GB2312" w:eastAsia="仿宋_GB2312"/>
          <w:b/>
          <w:sz w:val="32"/>
          <w:szCs w:val="32"/>
          <w:lang w:val="en-US"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2.93万元,</w:t>
      </w:r>
      <w:r>
        <w:rPr>
          <w:rStyle w:val="14"/>
          <w:rFonts w:hint="eastAsia" w:ascii="仿宋" w:hAnsi="仿宋" w:eastAsia="仿宋"/>
          <w:b w:val="0"/>
          <w:bCs/>
          <w:sz w:val="32"/>
          <w:szCs w:val="32"/>
        </w:rPr>
        <w:t>完成预算90.43</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20年减少0.49万元，下降14.32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1、</w:t>
      </w:r>
      <w:r>
        <w:rPr>
          <w:rFonts w:hint="eastAsia" w:ascii="仿宋_GB2312" w:eastAsia="仿宋_GB2312"/>
          <w:sz w:val="32"/>
          <w:szCs w:val="32"/>
        </w:rPr>
        <w:t>年末公务车维修费用未及时报账。</w:t>
      </w:r>
      <w:r>
        <w:rPr>
          <w:rFonts w:hint="eastAsia" w:ascii="仿宋_GB2312" w:eastAsia="仿宋_GB2312"/>
          <w:sz w:val="32"/>
          <w:szCs w:val="32"/>
          <w:lang w:val="en-US" w:eastAsia="zh-CN"/>
        </w:rPr>
        <w:t>2、学校加强管理，严格控制非必要</w:t>
      </w:r>
      <w:bookmarkStart w:id="67" w:name="_GoBack"/>
      <w:bookmarkEnd w:id="67"/>
      <w:r>
        <w:rPr>
          <w:rFonts w:hint="eastAsia" w:ascii="仿宋_GB2312" w:eastAsia="仿宋_GB2312"/>
          <w:sz w:val="32"/>
          <w:szCs w:val="32"/>
          <w:lang w:val="en-US" w:eastAsia="zh-CN"/>
        </w:rPr>
        <w:t>支出。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0万元。全年按规定更新购置公务用车0辆，其中：轿车0辆、金额0万元，越野车0辆、金额0万元，载客汽车0辆、金额0万元0。截至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月底，单位共有公务用车2辆，其中：轿车1辆、越野车0辆、载客汽车1辆。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2.93万元。主要用于木里藏区及攀枝花市周边地区招生宣传，扶贫慰问，学生回访等所需的公务用车燃料费、维修费、过路过桥费、保险费等支出。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w:t>
      </w:r>
      <w:r>
        <w:rPr>
          <w:rFonts w:hint="eastAsia" w:ascii="仿宋_GB2312" w:eastAsia="仿宋_GB2312"/>
          <w:sz w:val="32"/>
          <w:szCs w:val="32"/>
        </w:rPr>
        <w:t>万元，主要用于接待凉山州藏区驻校教师工作检查接待等。国内公务接待10批次，79人次（不包括陪同人员），共计支出1万元，具体内容包括：1、教学诊断工作接待费8人，0.1万元。2、教学诊改省级复核接待8人，0.19万元。3、惠州市德鼎公司校企合作接待费8人，0.13万元。4、凉山州9+3驻校教师工作检查接待费8人，0.18万元。5、乐山学生管理检查接待费6人，0.16万元。6、双流建设职业技术学校示范专业建设接待费8人，0.14万元。7、西南航空学院学生转录工作接待费6人，0.14万元。8、三名工程建设指导接待费4人，0.11万元。9、示范专业建设中期指导接待费5人，0.14万元。10、名校长工作室研讨接待费18人，0.29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19"/>
          <w:rFonts w:ascii="黑体" w:hAnsi="黑体" w:eastAsia="黑体"/>
        </w:rPr>
      </w:pPr>
      <w:bookmarkStart w:id="40" w:name="_Toc15396610"/>
      <w:bookmarkStart w:id="41" w:name="_Toc15377218"/>
      <w:r>
        <w:rPr>
          <w:rFonts w:hint="eastAsia" w:ascii="黑体" w:eastAsia="黑体"/>
          <w:sz w:val="32"/>
          <w:szCs w:val="32"/>
        </w:rPr>
        <w:t>八．</w:t>
      </w:r>
      <w:r>
        <w:rPr>
          <w:rStyle w:val="1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firstLineChars="200"/>
        <w:outlineLvl w:val="1"/>
        <w:rPr>
          <w:rStyle w:val="19"/>
          <w:rFonts w:ascii="黑体" w:hAnsi="黑体" w:eastAsia="黑体"/>
          <w:b w:val="0"/>
        </w:rPr>
      </w:pPr>
      <w:bookmarkStart w:id="42" w:name="_Toc15396611"/>
      <w:bookmarkStart w:id="43" w:name="_Toc15377219"/>
      <w:r>
        <w:rPr>
          <w:rStyle w:val="19"/>
          <w:rFonts w:hint="eastAsia" w:ascii="黑体" w:hAnsi="黑体" w:eastAsia="黑体"/>
          <w:b w:val="0"/>
        </w:rPr>
        <w:t>九．国有资本经营预算支出决算情况说明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600" w:lineRule="exact"/>
        <w:ind w:firstLine="640" w:firstLineChars="200"/>
        <w:outlineLvl w:val="1"/>
        <w:rPr>
          <w:rStyle w:val="19"/>
          <w:rFonts w:ascii="黑体" w:hAnsi="黑体" w:eastAsia="黑体"/>
          <w:b w:val="0"/>
        </w:rPr>
      </w:pPr>
      <w:bookmarkStart w:id="44" w:name="_Toc15396612"/>
      <w:bookmarkStart w:id="45" w:name="_Toc15377221"/>
      <w:r>
        <w:rPr>
          <w:rStyle w:val="19"/>
          <w:rFonts w:hint="eastAsia" w:ascii="黑体" w:hAnsi="黑体" w:eastAsia="黑体"/>
          <w:b w:val="0"/>
        </w:rPr>
        <w:t>十．其他重要事项的情况说明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2021年度本单位机关运行经费为0万元。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市建筑工程学校政府采购支出总额679.88万元，其中：政府采购货物支出359.88万元、政府采购工程支出320万元、政府采购服务支出0万元。主要用于教学设备及教学用软件采购，足球场改造工程，教学楼消防改造工程以及校内零星维修工程等。授予中小企业合同金额679.88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，其中：授予小微企业合同金额679.88万元，占政府采购支出总额的100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日，攀枝花市建筑工程学校共有车辆24辆，其中：主要领导干部用车0辆、机要通信用车0辆、应急保障用车0辆、其他用车24辆，其他用车主要是用于驾驶训练教学用。单价</w:t>
      </w:r>
      <w:r>
        <w:rPr>
          <w:rFonts w:ascii="仿宋_GB2312" w:eastAsia="仿宋_GB2312"/>
          <w:sz w:val="32"/>
          <w:szCs w:val="32"/>
        </w:rPr>
        <w:t>50</w:t>
      </w:r>
      <w:r>
        <w:rPr>
          <w:rFonts w:hint="eastAsia" w:ascii="仿宋_GB2312" w:eastAsia="仿宋_GB2312"/>
          <w:sz w:val="32"/>
          <w:szCs w:val="32"/>
        </w:rPr>
        <w:t>万元以上通用设备1套，单价</w:t>
      </w:r>
      <w:r>
        <w:rPr>
          <w:rFonts w:ascii="仿宋_GB2312" w:eastAsia="仿宋_GB2312"/>
          <w:sz w:val="32"/>
          <w:szCs w:val="32"/>
        </w:rPr>
        <w:t>100</w:t>
      </w:r>
      <w:r>
        <w:rPr>
          <w:rFonts w:hint="eastAsia" w:ascii="仿宋_GB2312" w:eastAsia="仿宋_GB2312"/>
          <w:sz w:val="32"/>
          <w:szCs w:val="32"/>
        </w:rPr>
        <w:t>万元以上专用设备1套。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2021年现业教育质量提升计划等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widowControl/>
        <w:jc w:val="center"/>
        <w:rPr>
          <w:rStyle w:val="18"/>
          <w:rFonts w:ascii="黑体" w:hAnsi="黑体" w:eastAsia="黑体"/>
          <w:b w:val="0"/>
        </w:rPr>
      </w:pPr>
      <w:r>
        <w:rPr>
          <w:rFonts w:ascii="仿宋_GB2312" w:eastAsia="仿宋_GB2312"/>
          <w:b/>
          <w:sz w:val="32"/>
          <w:szCs w:val="32"/>
        </w:rPr>
        <w:br w:type="page"/>
      </w:r>
      <w:bookmarkStart w:id="49" w:name="_Toc15396613"/>
      <w:bookmarkStart w:id="50" w:name="_Toc15377225"/>
      <w:r>
        <w:rPr>
          <w:rStyle w:val="18"/>
          <w:rFonts w:hint="eastAsia" w:ascii="黑体" w:hAnsi="黑体" w:eastAsia="黑体" w:cstheme="minorBidi"/>
          <w:b w:val="0"/>
        </w:rPr>
        <w:t>第三部分</w:t>
      </w:r>
      <w:r>
        <w:rPr>
          <w:rFonts w:hint="eastAsia" w:ascii="黑体" w:hAnsi="黑体" w:eastAsia="黑体"/>
          <w:sz w:val="44"/>
          <w:szCs w:val="44"/>
        </w:rPr>
        <w:t>名</w:t>
      </w:r>
      <w:r>
        <w:rPr>
          <w:rStyle w:val="18"/>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其他收入：指单位取得的除上述收入以外的各项收入。主要是区县承担的民区学生免学费等。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9.一般公共服务（类）组织事务（款）其他组织事务支出（项）：反映政府提供一般公共服务支出。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教育（类）职业教育（款）中等职业教育（项）：指各部门举办的中等职业教育支出。</w:t>
      </w:r>
    </w:p>
    <w:p>
      <w:pPr>
        <w:pStyle w:val="27"/>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11.教育（类）进修及培训（款）教师进修（项）：指用于教师培训的支出。</w:t>
      </w:r>
    </w:p>
    <w:p>
      <w:pPr>
        <w:pStyle w:val="2"/>
        <w:spacing w:before="93"/>
        <w:rPr>
          <w:rStyle w:val="14"/>
          <w:rFonts w:ascii="仿宋" w:hAnsi="仿宋" w:eastAsia="仿宋"/>
          <w:bCs/>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12.教育（类）教育费附加安排的支出（款）其他教育费附加安排的支出（项）：民区学生免费教育经费，用于改善办学条件，充实学校公用经费等支出。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13.社会保障和就业（类）人力资源和社会保障管理事务（款）其他人力资源和社会保障管理事务支出（项）：用于引进高层次人才的安家费及房租支出。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14.社会保障和就业（类）行政事业单位养老支出（款）机关事业单位基本养老保险缴费支出（项）：用于机关事业单位职工基本养老保险单位部份缴费支出。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15.社会保障和就业（类）抚恤（款）死亡抚恤（项）：指国家机关，企事业单位对死者家属发放的一次性补助。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
        <w:spacing w:before="93"/>
        <w:ind w:firstLine="640" w:firstLineChars="200"/>
      </w:pPr>
      <w:r>
        <w:rPr>
          <w:rFonts w:hint="eastAsia"/>
          <w:sz w:val="32"/>
          <w:szCs w:val="32"/>
        </w:rPr>
        <w:t>20</w:t>
      </w:r>
      <w:r>
        <w:rPr>
          <w:sz w:val="32"/>
          <w:szCs w:val="32"/>
        </w:rPr>
        <w:t>.</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18"/>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18"/>
          <w:rFonts w:hint="eastAsia" w:ascii="黑体" w:hAnsi="黑体" w:eastAsia="黑体"/>
          <w:b w:val="0"/>
        </w:rPr>
        <w:t>四部分 附件</w:t>
      </w:r>
      <w:bookmarkEnd w:id="52"/>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3"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攀枝花市教育和体育局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攀枝花市建筑工程学校</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370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370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中职改善办学条件</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28"/>
              <w:widowControl/>
              <w:numPr>
                <w:ilvl w:val="0"/>
                <w:numId w:val="1"/>
              </w:numPr>
              <w:spacing w:line="320" w:lineRule="exact"/>
              <w:ind w:firstLineChars="0"/>
              <w:jc w:val="left"/>
              <w:textAlignment w:val="top"/>
              <w:rPr>
                <w:rFonts w:ascii="宋体" w:hAnsi="宋体" w:cs="宋体"/>
                <w:sz w:val="24"/>
              </w:rPr>
            </w:pPr>
            <w:r>
              <w:rPr>
                <w:rFonts w:hint="eastAsia" w:ascii="宋体" w:hAnsi="宋体" w:cs="宋体"/>
                <w:sz w:val="24"/>
              </w:rPr>
              <w:t>完成足球场改造。</w:t>
            </w:r>
          </w:p>
          <w:p>
            <w:pPr>
              <w:pStyle w:val="2"/>
              <w:numPr>
                <w:ilvl w:val="0"/>
                <w:numId w:val="1"/>
              </w:numPr>
              <w:spacing w:before="93"/>
            </w:pPr>
            <w:r>
              <w:rPr>
                <w:rFonts w:hint="eastAsia"/>
              </w:rPr>
              <w:t>教学楼厕所改造。</w:t>
            </w:r>
          </w:p>
          <w:p>
            <w:pPr>
              <w:pStyle w:val="2"/>
              <w:numPr>
                <w:ilvl w:val="0"/>
                <w:numId w:val="1"/>
              </w:numPr>
              <w:spacing w:before="93"/>
            </w:pPr>
            <w:r>
              <w:rPr>
                <w:rFonts w:hint="eastAsia"/>
              </w:rPr>
              <w:t>1、2教学楼消防改造。</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足球场改造面积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≥6500平米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6850平米</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教学楼厕所改造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24间</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1、2教学楼消防改造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补齐缺失，更换损坏。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补齐缺失，更换损坏。</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工程验收合格率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按时完成改造 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改造项目成本控制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≤370万元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节约用水、用电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比改造 前节约10%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基础设施完善率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≥98%</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改善学校办学条件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办学条件得到提升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办学条件得到提升</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提高师生满意度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8"/>
          <w:rFonts w:hint="eastAsia" w:ascii="黑体" w:hAnsi="黑体" w:eastAsia="黑体"/>
          <w:b w:val="0"/>
        </w:rPr>
        <w:t>五部分 附表</w:t>
      </w:r>
      <w:bookmarkEnd w:id="51"/>
      <w:bookmarkEnd w:id="53"/>
      <w:bookmarkStart w:id="54" w:name="_Toc15396619"/>
    </w:p>
    <w:bookmarkEnd w:id="54"/>
    <w:p>
      <w:pPr>
        <w:pStyle w:val="28"/>
        <w:ind w:firstLine="0" w:firstLineChars="0"/>
        <w:rPr>
          <w:rStyle w:val="19"/>
          <w:rFonts w:ascii="仿宋" w:hAnsi="仿宋" w:eastAsia="仿宋"/>
          <w:b w:val="0"/>
          <w:bCs w:val="0"/>
        </w:rPr>
      </w:pPr>
      <w:r>
        <w:rPr>
          <w:rStyle w:val="19"/>
          <w:rFonts w:hint="eastAsia" w:ascii="仿宋" w:hAnsi="仿宋" w:eastAsia="仿宋"/>
          <w:b w:val="0"/>
          <w:bCs w:val="0"/>
        </w:rPr>
        <w:t>一、收入支出决算总表</w:t>
      </w:r>
      <w:bookmarkStart w:id="55" w:name="_Toc15396620"/>
    </w:p>
    <w:p>
      <w:pPr>
        <w:pStyle w:val="28"/>
        <w:ind w:firstLine="0" w:firstLineChars="0"/>
        <w:rPr>
          <w:rStyle w:val="19"/>
          <w:rFonts w:ascii="仿宋" w:hAnsi="仿宋" w:eastAsia="仿宋"/>
          <w:b w:val="0"/>
          <w:bCs w:val="0"/>
        </w:rPr>
      </w:pPr>
      <w:r>
        <w:rPr>
          <w:rStyle w:val="19"/>
          <w:rFonts w:hint="eastAsia" w:ascii="仿宋" w:hAnsi="仿宋" w:eastAsia="仿宋"/>
          <w:b w:val="0"/>
          <w:bCs w:val="0"/>
        </w:rPr>
        <w:t>二、收入决算表</w:t>
      </w:r>
      <w:bookmarkEnd w:id="55"/>
    </w:p>
    <w:p>
      <w:pPr>
        <w:pStyle w:val="28"/>
        <w:ind w:firstLine="0" w:firstLineChars="0"/>
        <w:rPr>
          <w:rStyle w:val="19"/>
          <w:rFonts w:ascii="仿宋" w:hAnsi="仿宋" w:eastAsia="仿宋"/>
          <w:b w:val="0"/>
          <w:bCs w:val="0"/>
        </w:rPr>
      </w:pPr>
      <w:r>
        <w:rPr>
          <w:rStyle w:val="19"/>
          <w:rFonts w:hint="eastAsia" w:ascii="仿宋" w:hAnsi="仿宋" w:eastAsia="仿宋"/>
          <w:b w:val="0"/>
          <w:bCs w:val="0"/>
        </w:rPr>
        <w:t>三、</w:t>
      </w:r>
      <w:bookmarkStart w:id="56" w:name="_Toc15396621"/>
      <w:r>
        <w:rPr>
          <w:rStyle w:val="19"/>
          <w:rFonts w:hint="eastAsia" w:ascii="仿宋" w:hAnsi="仿宋" w:eastAsia="仿宋"/>
          <w:b w:val="0"/>
          <w:bCs w:val="0"/>
        </w:rPr>
        <w:t>支出决算表</w:t>
      </w:r>
      <w:bookmarkEnd w:id="56"/>
    </w:p>
    <w:p>
      <w:pPr>
        <w:pStyle w:val="28"/>
        <w:ind w:firstLine="0" w:firstLineChars="0"/>
        <w:rPr>
          <w:rStyle w:val="19"/>
          <w:rFonts w:ascii="仿宋" w:hAnsi="仿宋" w:eastAsia="仿宋"/>
          <w:b w:val="0"/>
          <w:bCs w:val="0"/>
        </w:rPr>
      </w:pPr>
      <w:r>
        <w:rPr>
          <w:rStyle w:val="19"/>
          <w:rFonts w:hint="eastAsia" w:ascii="仿宋" w:hAnsi="仿宋" w:eastAsia="仿宋"/>
          <w:b w:val="0"/>
          <w:bCs w:val="0"/>
        </w:rPr>
        <w:t>四、</w:t>
      </w:r>
      <w:bookmarkStart w:id="57" w:name="_Toc15396622"/>
      <w:r>
        <w:rPr>
          <w:rStyle w:val="19"/>
          <w:rFonts w:hint="eastAsia" w:ascii="仿宋" w:hAnsi="仿宋" w:eastAsia="仿宋"/>
          <w:b w:val="0"/>
          <w:bCs w:val="0"/>
        </w:rPr>
        <w:t>财政拨款收入支出决算总表</w:t>
      </w:r>
      <w:bookmarkEnd w:id="57"/>
    </w:p>
    <w:p>
      <w:pPr>
        <w:pStyle w:val="28"/>
        <w:ind w:firstLine="0" w:firstLineChars="0"/>
        <w:rPr>
          <w:rStyle w:val="19"/>
          <w:rFonts w:ascii="仿宋" w:hAnsi="仿宋" w:eastAsia="仿宋"/>
          <w:b w:val="0"/>
          <w:bCs w:val="0"/>
        </w:rPr>
      </w:pPr>
      <w:r>
        <w:rPr>
          <w:rStyle w:val="19"/>
          <w:rFonts w:hint="eastAsia" w:ascii="仿宋" w:hAnsi="仿宋" w:eastAsia="仿宋"/>
          <w:b w:val="0"/>
          <w:bCs w:val="0"/>
        </w:rPr>
        <w:t>五、</w:t>
      </w:r>
      <w:bookmarkStart w:id="58" w:name="_Toc15396623"/>
      <w:r>
        <w:rPr>
          <w:rStyle w:val="19"/>
          <w:rFonts w:hint="eastAsia" w:ascii="仿宋" w:hAnsi="仿宋" w:eastAsia="仿宋"/>
          <w:b w:val="0"/>
          <w:bCs w:val="0"/>
        </w:rPr>
        <w:t>财政拨款支出决算明细表</w:t>
      </w:r>
      <w:bookmarkEnd w:id="58"/>
      <w:bookmarkStart w:id="59" w:name="_Toc15396624"/>
    </w:p>
    <w:p>
      <w:pPr>
        <w:pStyle w:val="28"/>
        <w:ind w:firstLine="0" w:firstLineChars="0"/>
        <w:rPr>
          <w:rStyle w:val="19"/>
          <w:rFonts w:ascii="仿宋" w:hAnsi="仿宋" w:eastAsia="仿宋"/>
          <w:b w:val="0"/>
          <w:bCs w:val="0"/>
        </w:rPr>
      </w:pPr>
      <w:r>
        <w:rPr>
          <w:rStyle w:val="19"/>
          <w:rFonts w:hint="eastAsia" w:ascii="仿宋" w:hAnsi="仿宋" w:eastAsia="仿宋"/>
          <w:b w:val="0"/>
          <w:bCs w:val="0"/>
        </w:rPr>
        <w:t>六、一般公共预算财政拨款支出决算表</w:t>
      </w:r>
      <w:bookmarkEnd w:id="59"/>
      <w:bookmarkStart w:id="60" w:name="_Toc15396625"/>
    </w:p>
    <w:p>
      <w:pPr>
        <w:pStyle w:val="28"/>
        <w:ind w:firstLine="0" w:firstLineChars="0"/>
        <w:rPr>
          <w:rStyle w:val="19"/>
          <w:rFonts w:ascii="仿宋" w:hAnsi="仿宋" w:eastAsia="仿宋"/>
          <w:b w:val="0"/>
          <w:bCs w:val="0"/>
        </w:rPr>
      </w:pPr>
      <w:r>
        <w:rPr>
          <w:rStyle w:val="19"/>
          <w:rFonts w:hint="eastAsia" w:ascii="仿宋" w:hAnsi="仿宋" w:eastAsia="仿宋"/>
          <w:b w:val="0"/>
          <w:bCs w:val="0"/>
        </w:rPr>
        <w:t>七、一般公共预算财政拨款支出决算明细表</w:t>
      </w:r>
      <w:bookmarkEnd w:id="60"/>
    </w:p>
    <w:p>
      <w:pPr>
        <w:pStyle w:val="28"/>
        <w:ind w:firstLine="0" w:firstLineChars="0"/>
        <w:rPr>
          <w:rStyle w:val="19"/>
          <w:rFonts w:ascii="仿宋" w:hAnsi="仿宋" w:eastAsia="仿宋"/>
          <w:b w:val="0"/>
          <w:bCs w:val="0"/>
        </w:rPr>
      </w:pPr>
      <w:bookmarkStart w:id="61" w:name="_Toc15396626"/>
      <w:r>
        <w:rPr>
          <w:rStyle w:val="19"/>
          <w:rFonts w:hint="eastAsia" w:ascii="仿宋" w:hAnsi="仿宋" w:eastAsia="仿宋"/>
          <w:b w:val="0"/>
          <w:bCs w:val="0"/>
        </w:rPr>
        <w:t>八、一般公共预算财政拨款基本支出决算表</w:t>
      </w:r>
      <w:bookmarkEnd w:id="61"/>
      <w:bookmarkStart w:id="62" w:name="_Toc15396627"/>
    </w:p>
    <w:p>
      <w:pPr>
        <w:pStyle w:val="28"/>
        <w:ind w:firstLine="0" w:firstLineChars="0"/>
        <w:rPr>
          <w:rStyle w:val="19"/>
          <w:rFonts w:ascii="仿宋" w:hAnsi="仿宋" w:eastAsia="仿宋"/>
          <w:b w:val="0"/>
          <w:bCs w:val="0"/>
        </w:rPr>
      </w:pPr>
      <w:r>
        <w:rPr>
          <w:rStyle w:val="19"/>
          <w:rFonts w:hint="eastAsia" w:ascii="仿宋" w:hAnsi="仿宋" w:eastAsia="仿宋"/>
          <w:b w:val="0"/>
          <w:bCs w:val="0"/>
        </w:rPr>
        <w:t>九、</w:t>
      </w:r>
      <w:r>
        <w:rPr>
          <w:rFonts w:hint="eastAsia" w:ascii="仿宋" w:hAnsi="仿宋" w:eastAsia="仿宋"/>
        </w:rPr>
        <w:t>一</w:t>
      </w:r>
      <w:r>
        <w:rPr>
          <w:rStyle w:val="19"/>
          <w:rFonts w:hint="eastAsia" w:ascii="仿宋" w:hAnsi="仿宋" w:eastAsia="仿宋"/>
          <w:b w:val="0"/>
          <w:bCs w:val="0"/>
        </w:rPr>
        <w:t>般公共预算财政拨款项目支出决算表</w:t>
      </w:r>
      <w:bookmarkEnd w:id="62"/>
    </w:p>
    <w:p>
      <w:pPr>
        <w:pStyle w:val="4"/>
        <w:rPr>
          <w:rStyle w:val="19"/>
          <w:rFonts w:ascii="仿宋" w:hAnsi="仿宋" w:eastAsia="仿宋"/>
          <w:b w:val="0"/>
          <w:bCs w:val="0"/>
        </w:rPr>
      </w:pPr>
      <w:bookmarkStart w:id="63" w:name="_Toc15396628"/>
      <w:r>
        <w:rPr>
          <w:rStyle w:val="19"/>
          <w:rFonts w:hint="eastAsia" w:ascii="仿宋" w:hAnsi="仿宋" w:eastAsia="仿宋"/>
          <w:b w:val="0"/>
          <w:bCs w:val="0"/>
        </w:rPr>
        <w:t>十、</w:t>
      </w:r>
      <w:r>
        <w:rPr>
          <w:rFonts w:hint="eastAsia" w:ascii="仿宋" w:hAnsi="仿宋" w:eastAsia="仿宋"/>
          <w:b w:val="0"/>
        </w:rPr>
        <w:t>一</w:t>
      </w:r>
      <w:r>
        <w:rPr>
          <w:rStyle w:val="19"/>
          <w:rFonts w:hint="eastAsia" w:ascii="仿宋" w:hAnsi="仿宋" w:eastAsia="仿宋"/>
          <w:b w:val="0"/>
          <w:bCs w:val="0"/>
        </w:rPr>
        <w:t>般公共预算财政拨款“三公”经费支出决算表</w:t>
      </w:r>
      <w:bookmarkEnd w:id="63"/>
      <w:bookmarkStart w:id="64" w:name="_Toc15396629"/>
    </w:p>
    <w:p>
      <w:pPr>
        <w:pStyle w:val="4"/>
        <w:rPr>
          <w:rStyle w:val="19"/>
          <w:rFonts w:ascii="仿宋" w:hAnsi="仿宋" w:eastAsia="仿宋"/>
          <w:b w:val="0"/>
          <w:bCs w:val="0"/>
        </w:rPr>
      </w:pPr>
      <w:r>
        <w:rPr>
          <w:rStyle w:val="19"/>
          <w:rFonts w:hint="eastAsia" w:ascii="仿宋" w:hAnsi="仿宋" w:eastAsia="仿宋"/>
          <w:b w:val="0"/>
          <w:bCs w:val="0"/>
        </w:rPr>
        <w:t>十一、</w:t>
      </w:r>
      <w:r>
        <w:rPr>
          <w:rFonts w:hint="eastAsia" w:ascii="仿宋" w:hAnsi="仿宋" w:eastAsia="仿宋"/>
          <w:b w:val="0"/>
        </w:rPr>
        <w:t>政</w:t>
      </w:r>
      <w:r>
        <w:rPr>
          <w:rStyle w:val="19"/>
          <w:rFonts w:hint="eastAsia" w:ascii="仿宋" w:hAnsi="仿宋" w:eastAsia="仿宋"/>
          <w:b w:val="0"/>
          <w:bCs w:val="0"/>
        </w:rPr>
        <w:t>府性基金预算财政拨款收入支出决算表</w:t>
      </w:r>
      <w:bookmarkEnd w:id="64"/>
    </w:p>
    <w:p>
      <w:r>
        <w:rPr>
          <w:rFonts w:hint="eastAsia"/>
        </w:rPr>
        <w:t>此表无数据</w:t>
      </w:r>
    </w:p>
    <w:p>
      <w:pPr>
        <w:pStyle w:val="4"/>
        <w:rPr>
          <w:rStyle w:val="19"/>
          <w:rFonts w:ascii="仿宋" w:hAnsi="仿宋" w:eastAsia="仿宋"/>
          <w:b w:val="0"/>
          <w:bCs w:val="0"/>
        </w:rPr>
      </w:pPr>
      <w:bookmarkStart w:id="65" w:name="_Toc15396630"/>
      <w:r>
        <w:rPr>
          <w:rFonts w:hint="eastAsia" w:ascii="仿宋" w:hAnsi="仿宋" w:eastAsia="仿宋"/>
          <w:b w:val="0"/>
        </w:rPr>
        <w:t>十二、政</w:t>
      </w:r>
      <w:r>
        <w:rPr>
          <w:rStyle w:val="19"/>
          <w:rFonts w:hint="eastAsia" w:ascii="仿宋" w:hAnsi="仿宋" w:eastAsia="仿宋"/>
          <w:b w:val="0"/>
          <w:bCs w:val="0"/>
        </w:rPr>
        <w:t>府性基金预算财政拨款“三公”经费支出决算表</w:t>
      </w:r>
      <w:bookmarkEnd w:id="65"/>
    </w:p>
    <w:p>
      <w:pPr>
        <w:pStyle w:val="4"/>
        <w:rPr>
          <w:rFonts w:ascii="Times New Roman" w:hAnsi="Times New Roman" w:eastAsia="宋体" w:cs="Times New Roman"/>
          <w:b w:val="0"/>
          <w:bCs w:val="0"/>
          <w:sz w:val="21"/>
          <w:szCs w:val="24"/>
        </w:rPr>
      </w:pPr>
      <w:r>
        <w:rPr>
          <w:rFonts w:hint="eastAsia" w:ascii="Times New Roman" w:hAnsi="Times New Roman" w:eastAsia="宋体" w:cs="Times New Roman"/>
          <w:b w:val="0"/>
          <w:bCs w:val="0"/>
          <w:sz w:val="21"/>
          <w:szCs w:val="24"/>
        </w:rPr>
        <w:t>此表无数据</w:t>
      </w:r>
    </w:p>
    <w:p>
      <w:pPr>
        <w:pStyle w:val="4"/>
        <w:rPr>
          <w:rStyle w:val="19"/>
          <w:rFonts w:ascii="仿宋" w:hAnsi="仿宋" w:eastAsia="仿宋"/>
          <w:b w:val="0"/>
          <w:bCs w:val="0"/>
        </w:rPr>
      </w:pPr>
      <w:bookmarkStart w:id="66" w:name="_Toc15396631"/>
      <w:r>
        <w:rPr>
          <w:rStyle w:val="19"/>
          <w:rFonts w:hint="eastAsia" w:ascii="仿宋" w:hAnsi="仿宋" w:eastAsia="仿宋"/>
          <w:b w:val="0"/>
          <w:bCs w:val="0"/>
        </w:rPr>
        <w:t>十三、</w:t>
      </w:r>
      <w:r>
        <w:rPr>
          <w:rFonts w:hint="eastAsia" w:ascii="仿宋" w:hAnsi="仿宋" w:eastAsia="仿宋"/>
          <w:b w:val="0"/>
        </w:rPr>
        <w:t>国</w:t>
      </w:r>
      <w:r>
        <w:rPr>
          <w:rStyle w:val="19"/>
          <w:rFonts w:hint="eastAsia" w:ascii="仿宋" w:hAnsi="仿宋" w:eastAsia="仿宋"/>
          <w:b w:val="0"/>
          <w:bCs w:val="0"/>
        </w:rPr>
        <w:t>有资本经营预算财政拨款收入支出决算表</w:t>
      </w:r>
      <w:bookmarkEnd w:id="66"/>
    </w:p>
    <w:p>
      <w:r>
        <w:rPr>
          <w:rFonts w:hint="eastAsia"/>
        </w:rPr>
        <w:t>此表无数据</w:t>
      </w:r>
    </w:p>
    <w:p>
      <w:pPr>
        <w:rPr>
          <w:rStyle w:val="19"/>
          <w:rFonts w:ascii="仿宋" w:hAnsi="仿宋" w:eastAsia="仿宋"/>
          <w:b w:val="0"/>
          <w:bCs w:val="0"/>
        </w:rPr>
      </w:pPr>
      <w:r>
        <w:rPr>
          <w:rStyle w:val="19"/>
          <w:rFonts w:hint="eastAsia" w:ascii="仿宋" w:hAnsi="仿宋" w:eastAsia="仿宋"/>
          <w:b w:val="0"/>
          <w:bCs w:val="0"/>
        </w:rPr>
        <w:t>十四、国有资本经营预算财政拨款支出决算表</w:t>
      </w:r>
    </w:p>
    <w:p>
      <w:pPr>
        <w:pStyle w:val="2"/>
        <w:spacing w:before="93"/>
        <w:rPr>
          <w:rFonts w:ascii="Times New Roman" w:eastAsia="宋体"/>
          <w:kern w:val="2"/>
          <w:sz w:val="21"/>
        </w:rPr>
      </w:pPr>
      <w:r>
        <w:rPr>
          <w:rFonts w:hint="eastAsia" w:ascii="Times New Roman" w:eastAsia="宋体"/>
          <w:kern w:val="2"/>
          <w:sz w:val="21"/>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B5BCB"/>
    <w:multiLevelType w:val="multilevel"/>
    <w:tmpl w:val="6A1B5BC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3YzY0MjFmM2ZkNjJjMjUyMGQxNjRhYjlhOWRhZDAifQ=="/>
  </w:docVars>
  <w:rsids>
    <w:rsidRoot w:val="00F1361C"/>
    <w:rsid w:val="00007CBA"/>
    <w:rsid w:val="00021792"/>
    <w:rsid w:val="000222C6"/>
    <w:rsid w:val="0002549F"/>
    <w:rsid w:val="0004104F"/>
    <w:rsid w:val="00045988"/>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1B1B"/>
    <w:rsid w:val="00110EE3"/>
    <w:rsid w:val="00114E9B"/>
    <w:rsid w:val="00142216"/>
    <w:rsid w:val="00144D6A"/>
    <w:rsid w:val="0014729F"/>
    <w:rsid w:val="00150A22"/>
    <w:rsid w:val="0015414A"/>
    <w:rsid w:val="00154489"/>
    <w:rsid w:val="00157BAB"/>
    <w:rsid w:val="001654D1"/>
    <w:rsid w:val="00174518"/>
    <w:rsid w:val="0018106D"/>
    <w:rsid w:val="001877A7"/>
    <w:rsid w:val="00191536"/>
    <w:rsid w:val="00194174"/>
    <w:rsid w:val="00196687"/>
    <w:rsid w:val="001C0962"/>
    <w:rsid w:val="001C1967"/>
    <w:rsid w:val="001C7F55"/>
    <w:rsid w:val="001D5405"/>
    <w:rsid w:val="001D7531"/>
    <w:rsid w:val="001D78D5"/>
    <w:rsid w:val="001E737D"/>
    <w:rsid w:val="001F0592"/>
    <w:rsid w:val="001F37D0"/>
    <w:rsid w:val="001F7506"/>
    <w:rsid w:val="002006CD"/>
    <w:rsid w:val="00202B36"/>
    <w:rsid w:val="00204B7A"/>
    <w:rsid w:val="00204CDE"/>
    <w:rsid w:val="0021101A"/>
    <w:rsid w:val="00220536"/>
    <w:rsid w:val="002312E8"/>
    <w:rsid w:val="00235629"/>
    <w:rsid w:val="00243970"/>
    <w:rsid w:val="00254D84"/>
    <w:rsid w:val="00260C38"/>
    <w:rsid w:val="002616C0"/>
    <w:rsid w:val="00265372"/>
    <w:rsid w:val="002662AA"/>
    <w:rsid w:val="00280496"/>
    <w:rsid w:val="00294DC9"/>
    <w:rsid w:val="00295495"/>
    <w:rsid w:val="002A1FED"/>
    <w:rsid w:val="002A31DE"/>
    <w:rsid w:val="002A6253"/>
    <w:rsid w:val="002B2613"/>
    <w:rsid w:val="002B790F"/>
    <w:rsid w:val="002C24DC"/>
    <w:rsid w:val="002D6D05"/>
    <w:rsid w:val="002F1818"/>
    <w:rsid w:val="002F567B"/>
    <w:rsid w:val="00307318"/>
    <w:rsid w:val="003216A9"/>
    <w:rsid w:val="003229AC"/>
    <w:rsid w:val="003243F6"/>
    <w:rsid w:val="0033215D"/>
    <w:rsid w:val="00335A74"/>
    <w:rsid w:val="0036561B"/>
    <w:rsid w:val="0037013F"/>
    <w:rsid w:val="00380C92"/>
    <w:rsid w:val="00393814"/>
    <w:rsid w:val="003A484F"/>
    <w:rsid w:val="003A4883"/>
    <w:rsid w:val="003B0BE0"/>
    <w:rsid w:val="003B0C1B"/>
    <w:rsid w:val="003B688C"/>
    <w:rsid w:val="003C0291"/>
    <w:rsid w:val="003C0C7C"/>
    <w:rsid w:val="003C39AE"/>
    <w:rsid w:val="003C7B60"/>
    <w:rsid w:val="003D0C0F"/>
    <w:rsid w:val="003D1FB2"/>
    <w:rsid w:val="003D66DA"/>
    <w:rsid w:val="003E1310"/>
    <w:rsid w:val="003E3835"/>
    <w:rsid w:val="003E6F55"/>
    <w:rsid w:val="00406254"/>
    <w:rsid w:val="0041246E"/>
    <w:rsid w:val="004218B2"/>
    <w:rsid w:val="004223DE"/>
    <w:rsid w:val="00423E7B"/>
    <w:rsid w:val="00425438"/>
    <w:rsid w:val="00434489"/>
    <w:rsid w:val="00437085"/>
    <w:rsid w:val="00443880"/>
    <w:rsid w:val="004464F4"/>
    <w:rsid w:val="00457A3C"/>
    <w:rsid w:val="00471401"/>
    <w:rsid w:val="00473F31"/>
    <w:rsid w:val="0048263A"/>
    <w:rsid w:val="00487E5D"/>
    <w:rsid w:val="00493578"/>
    <w:rsid w:val="004A711F"/>
    <w:rsid w:val="004A7AFA"/>
    <w:rsid w:val="004B199D"/>
    <w:rsid w:val="004B4690"/>
    <w:rsid w:val="004E0A2D"/>
    <w:rsid w:val="004E206B"/>
    <w:rsid w:val="004E34E8"/>
    <w:rsid w:val="004E6DF7"/>
    <w:rsid w:val="004F0FBD"/>
    <w:rsid w:val="00505A47"/>
    <w:rsid w:val="00512FDA"/>
    <w:rsid w:val="00520DA0"/>
    <w:rsid w:val="00541CBA"/>
    <w:rsid w:val="00554EBA"/>
    <w:rsid w:val="005664BB"/>
    <w:rsid w:val="00566FFA"/>
    <w:rsid w:val="0057481D"/>
    <w:rsid w:val="00581608"/>
    <w:rsid w:val="0058486E"/>
    <w:rsid w:val="00585B33"/>
    <w:rsid w:val="0059014D"/>
    <w:rsid w:val="0059470D"/>
    <w:rsid w:val="005B5C64"/>
    <w:rsid w:val="005B7612"/>
    <w:rsid w:val="005C4630"/>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AA7"/>
    <w:rsid w:val="00634C9A"/>
    <w:rsid w:val="006372E6"/>
    <w:rsid w:val="00643DEA"/>
    <w:rsid w:val="006440E4"/>
    <w:rsid w:val="0066343B"/>
    <w:rsid w:val="00664777"/>
    <w:rsid w:val="00665308"/>
    <w:rsid w:val="006748A4"/>
    <w:rsid w:val="00681A31"/>
    <w:rsid w:val="00683E73"/>
    <w:rsid w:val="00690C77"/>
    <w:rsid w:val="006A3141"/>
    <w:rsid w:val="006A3EF7"/>
    <w:rsid w:val="006A5E34"/>
    <w:rsid w:val="006A702B"/>
    <w:rsid w:val="006B0034"/>
    <w:rsid w:val="006B2422"/>
    <w:rsid w:val="006B2B9A"/>
    <w:rsid w:val="006C1937"/>
    <w:rsid w:val="006D2689"/>
    <w:rsid w:val="006E2A51"/>
    <w:rsid w:val="006F020C"/>
    <w:rsid w:val="006F536B"/>
    <w:rsid w:val="007127B7"/>
    <w:rsid w:val="0071798E"/>
    <w:rsid w:val="007211FD"/>
    <w:rsid w:val="007416B6"/>
    <w:rsid w:val="00746F48"/>
    <w:rsid w:val="00750F66"/>
    <w:rsid w:val="0075404D"/>
    <w:rsid w:val="0076182A"/>
    <w:rsid w:val="00767B7E"/>
    <w:rsid w:val="007770C3"/>
    <w:rsid w:val="007776FF"/>
    <w:rsid w:val="00784D24"/>
    <w:rsid w:val="00785FBA"/>
    <w:rsid w:val="00786E4A"/>
    <w:rsid w:val="007875EB"/>
    <w:rsid w:val="0079426B"/>
    <w:rsid w:val="007D1682"/>
    <w:rsid w:val="007D312A"/>
    <w:rsid w:val="007D3F19"/>
    <w:rsid w:val="007D6493"/>
    <w:rsid w:val="007E23B0"/>
    <w:rsid w:val="007E23E5"/>
    <w:rsid w:val="007E26E8"/>
    <w:rsid w:val="007F1502"/>
    <w:rsid w:val="007F1991"/>
    <w:rsid w:val="007F2C2F"/>
    <w:rsid w:val="007F55FC"/>
    <w:rsid w:val="007F5665"/>
    <w:rsid w:val="00800112"/>
    <w:rsid w:val="00806AD6"/>
    <w:rsid w:val="00813348"/>
    <w:rsid w:val="008253BB"/>
    <w:rsid w:val="0083706E"/>
    <w:rsid w:val="008408F6"/>
    <w:rsid w:val="008423A5"/>
    <w:rsid w:val="00850625"/>
    <w:rsid w:val="00853718"/>
    <w:rsid w:val="00855221"/>
    <w:rsid w:val="00860645"/>
    <w:rsid w:val="00871F71"/>
    <w:rsid w:val="00872FD8"/>
    <w:rsid w:val="00885AF4"/>
    <w:rsid w:val="00891C93"/>
    <w:rsid w:val="008939CD"/>
    <w:rsid w:val="008B768C"/>
    <w:rsid w:val="008C4DB1"/>
    <w:rsid w:val="008C4EAF"/>
    <w:rsid w:val="008C5176"/>
    <w:rsid w:val="008C7FD0"/>
    <w:rsid w:val="008D257F"/>
    <w:rsid w:val="008E1DE7"/>
    <w:rsid w:val="008E707C"/>
    <w:rsid w:val="00900B08"/>
    <w:rsid w:val="00902155"/>
    <w:rsid w:val="00902FA3"/>
    <w:rsid w:val="00920794"/>
    <w:rsid w:val="00923564"/>
    <w:rsid w:val="0092392E"/>
    <w:rsid w:val="009315F9"/>
    <w:rsid w:val="00933499"/>
    <w:rsid w:val="00935BE0"/>
    <w:rsid w:val="00935C98"/>
    <w:rsid w:val="00946945"/>
    <w:rsid w:val="00951248"/>
    <w:rsid w:val="0095152F"/>
    <w:rsid w:val="00954C49"/>
    <w:rsid w:val="00955E37"/>
    <w:rsid w:val="0097099F"/>
    <w:rsid w:val="00971997"/>
    <w:rsid w:val="00971FFC"/>
    <w:rsid w:val="00974545"/>
    <w:rsid w:val="009767EA"/>
    <w:rsid w:val="0098660A"/>
    <w:rsid w:val="00987233"/>
    <w:rsid w:val="009931C3"/>
    <w:rsid w:val="009933DF"/>
    <w:rsid w:val="009B1FF9"/>
    <w:rsid w:val="009B2C43"/>
    <w:rsid w:val="009B4EAE"/>
    <w:rsid w:val="009B7573"/>
    <w:rsid w:val="009C22F4"/>
    <w:rsid w:val="009C2A4B"/>
    <w:rsid w:val="009C2E98"/>
    <w:rsid w:val="009C77F0"/>
    <w:rsid w:val="009D3447"/>
    <w:rsid w:val="009D4711"/>
    <w:rsid w:val="009E1C69"/>
    <w:rsid w:val="009F1185"/>
    <w:rsid w:val="009F18CD"/>
    <w:rsid w:val="009F2A13"/>
    <w:rsid w:val="009F2F99"/>
    <w:rsid w:val="009F44B6"/>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35B5"/>
    <w:rsid w:val="00A67AB5"/>
    <w:rsid w:val="00A733B2"/>
    <w:rsid w:val="00A741C2"/>
    <w:rsid w:val="00A8763C"/>
    <w:rsid w:val="00A87C07"/>
    <w:rsid w:val="00A91760"/>
    <w:rsid w:val="00A93B00"/>
    <w:rsid w:val="00A93C21"/>
    <w:rsid w:val="00AA04E9"/>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54E"/>
    <w:rsid w:val="00B62B35"/>
    <w:rsid w:val="00B75DAF"/>
    <w:rsid w:val="00B77EA6"/>
    <w:rsid w:val="00B81598"/>
    <w:rsid w:val="00B841F1"/>
    <w:rsid w:val="00B944D6"/>
    <w:rsid w:val="00BA2599"/>
    <w:rsid w:val="00BA45F1"/>
    <w:rsid w:val="00BB4DF0"/>
    <w:rsid w:val="00BC289F"/>
    <w:rsid w:val="00BC2D50"/>
    <w:rsid w:val="00BC5361"/>
    <w:rsid w:val="00BC5460"/>
    <w:rsid w:val="00BC54C4"/>
    <w:rsid w:val="00BC6B50"/>
    <w:rsid w:val="00BD0E25"/>
    <w:rsid w:val="00BE2DC5"/>
    <w:rsid w:val="00BF5BD6"/>
    <w:rsid w:val="00C03E31"/>
    <w:rsid w:val="00C0626F"/>
    <w:rsid w:val="00C16314"/>
    <w:rsid w:val="00C226A1"/>
    <w:rsid w:val="00C33E72"/>
    <w:rsid w:val="00C354B2"/>
    <w:rsid w:val="00C35554"/>
    <w:rsid w:val="00C42709"/>
    <w:rsid w:val="00C43514"/>
    <w:rsid w:val="00C51E53"/>
    <w:rsid w:val="00C533CC"/>
    <w:rsid w:val="00C5751C"/>
    <w:rsid w:val="00C61BFC"/>
    <w:rsid w:val="00C62B85"/>
    <w:rsid w:val="00C65438"/>
    <w:rsid w:val="00C66FBF"/>
    <w:rsid w:val="00C71E48"/>
    <w:rsid w:val="00C87FD8"/>
    <w:rsid w:val="00C91381"/>
    <w:rsid w:val="00C91CBB"/>
    <w:rsid w:val="00CB4E70"/>
    <w:rsid w:val="00CC09B6"/>
    <w:rsid w:val="00CC666F"/>
    <w:rsid w:val="00CD16EB"/>
    <w:rsid w:val="00CD1E3F"/>
    <w:rsid w:val="00CE20FA"/>
    <w:rsid w:val="00CE44F6"/>
    <w:rsid w:val="00CE49DA"/>
    <w:rsid w:val="00CE7B61"/>
    <w:rsid w:val="00D00095"/>
    <w:rsid w:val="00D114F0"/>
    <w:rsid w:val="00D20620"/>
    <w:rsid w:val="00D254F7"/>
    <w:rsid w:val="00D26091"/>
    <w:rsid w:val="00D2685C"/>
    <w:rsid w:val="00D34E7C"/>
    <w:rsid w:val="00D35489"/>
    <w:rsid w:val="00D36AFE"/>
    <w:rsid w:val="00D47569"/>
    <w:rsid w:val="00D51276"/>
    <w:rsid w:val="00D7035F"/>
    <w:rsid w:val="00D72C0C"/>
    <w:rsid w:val="00DA634F"/>
    <w:rsid w:val="00DA65AC"/>
    <w:rsid w:val="00DB1913"/>
    <w:rsid w:val="00DC410D"/>
    <w:rsid w:val="00DC5A81"/>
    <w:rsid w:val="00DC68CA"/>
    <w:rsid w:val="00DC6F53"/>
    <w:rsid w:val="00DC7CBA"/>
    <w:rsid w:val="00DD213D"/>
    <w:rsid w:val="00DD3F83"/>
    <w:rsid w:val="00DD73B7"/>
    <w:rsid w:val="00DF28BC"/>
    <w:rsid w:val="00DF34B9"/>
    <w:rsid w:val="00DF36D8"/>
    <w:rsid w:val="00E01053"/>
    <w:rsid w:val="00E07ACF"/>
    <w:rsid w:val="00E25CBB"/>
    <w:rsid w:val="00E27DD3"/>
    <w:rsid w:val="00E331A1"/>
    <w:rsid w:val="00E33202"/>
    <w:rsid w:val="00E336A9"/>
    <w:rsid w:val="00E43D36"/>
    <w:rsid w:val="00E472B1"/>
    <w:rsid w:val="00E50624"/>
    <w:rsid w:val="00E568DF"/>
    <w:rsid w:val="00E616D9"/>
    <w:rsid w:val="00E63EBD"/>
    <w:rsid w:val="00E64269"/>
    <w:rsid w:val="00E82267"/>
    <w:rsid w:val="00E853CE"/>
    <w:rsid w:val="00E867B6"/>
    <w:rsid w:val="00E91C5A"/>
    <w:rsid w:val="00EA010F"/>
    <w:rsid w:val="00EA6E42"/>
    <w:rsid w:val="00EC7D10"/>
    <w:rsid w:val="00ED1B63"/>
    <w:rsid w:val="00ED3C1F"/>
    <w:rsid w:val="00ED4085"/>
    <w:rsid w:val="00ED420E"/>
    <w:rsid w:val="00ED6FBE"/>
    <w:rsid w:val="00EE2F57"/>
    <w:rsid w:val="00EF3C05"/>
    <w:rsid w:val="00EF4C34"/>
    <w:rsid w:val="00EF77C6"/>
    <w:rsid w:val="00EF77D1"/>
    <w:rsid w:val="00F03E86"/>
    <w:rsid w:val="00F05438"/>
    <w:rsid w:val="00F05A3D"/>
    <w:rsid w:val="00F07A2F"/>
    <w:rsid w:val="00F1361C"/>
    <w:rsid w:val="00F156F0"/>
    <w:rsid w:val="00F160C7"/>
    <w:rsid w:val="00F2408F"/>
    <w:rsid w:val="00F240E9"/>
    <w:rsid w:val="00F36D8F"/>
    <w:rsid w:val="00F417B1"/>
    <w:rsid w:val="00F45853"/>
    <w:rsid w:val="00F602DF"/>
    <w:rsid w:val="00F747FD"/>
    <w:rsid w:val="00F754A1"/>
    <w:rsid w:val="00F81FD9"/>
    <w:rsid w:val="00F841AA"/>
    <w:rsid w:val="00F84A94"/>
    <w:rsid w:val="00F87E96"/>
    <w:rsid w:val="00FA23E8"/>
    <w:rsid w:val="00FA307A"/>
    <w:rsid w:val="00FC0FC9"/>
    <w:rsid w:val="00FD3CC1"/>
    <w:rsid w:val="00FD4005"/>
    <w:rsid w:val="00FD4B7D"/>
    <w:rsid w:val="00FF1E02"/>
    <w:rsid w:val="00FF30B4"/>
    <w:rsid w:val="05816FE5"/>
    <w:rsid w:val="06692671"/>
    <w:rsid w:val="07C17B6D"/>
    <w:rsid w:val="0A2032A3"/>
    <w:rsid w:val="0B8A37D8"/>
    <w:rsid w:val="0D470B14"/>
    <w:rsid w:val="0EC427BD"/>
    <w:rsid w:val="10C055FF"/>
    <w:rsid w:val="118107EC"/>
    <w:rsid w:val="11DD6519"/>
    <w:rsid w:val="16BB723D"/>
    <w:rsid w:val="17FE7DB3"/>
    <w:rsid w:val="18015F3F"/>
    <w:rsid w:val="1BE8440E"/>
    <w:rsid w:val="1CEF65C5"/>
    <w:rsid w:val="1D155CEE"/>
    <w:rsid w:val="20F57F95"/>
    <w:rsid w:val="240371BF"/>
    <w:rsid w:val="25C741E6"/>
    <w:rsid w:val="27842671"/>
    <w:rsid w:val="290B40D0"/>
    <w:rsid w:val="29FD04D3"/>
    <w:rsid w:val="2A2C0A1E"/>
    <w:rsid w:val="2ABE7A3E"/>
    <w:rsid w:val="2B955C1C"/>
    <w:rsid w:val="2E0F2B31"/>
    <w:rsid w:val="2EFA178C"/>
    <w:rsid w:val="2FA774C5"/>
    <w:rsid w:val="30B46D73"/>
    <w:rsid w:val="319F7F4E"/>
    <w:rsid w:val="33EF143A"/>
    <w:rsid w:val="33FC76B3"/>
    <w:rsid w:val="35C71DEB"/>
    <w:rsid w:val="38936601"/>
    <w:rsid w:val="39AE70AB"/>
    <w:rsid w:val="3C0C0783"/>
    <w:rsid w:val="3E546025"/>
    <w:rsid w:val="3F9F3A96"/>
    <w:rsid w:val="401F3A0E"/>
    <w:rsid w:val="40593C49"/>
    <w:rsid w:val="416E7AAA"/>
    <w:rsid w:val="44A522D9"/>
    <w:rsid w:val="493C27E9"/>
    <w:rsid w:val="496F39ED"/>
    <w:rsid w:val="49FF41D3"/>
    <w:rsid w:val="4A7D10F6"/>
    <w:rsid w:val="4BE068DB"/>
    <w:rsid w:val="4BF6002B"/>
    <w:rsid w:val="4DB844E2"/>
    <w:rsid w:val="4ECE2238"/>
    <w:rsid w:val="50644E62"/>
    <w:rsid w:val="51DB4B86"/>
    <w:rsid w:val="532B54BB"/>
    <w:rsid w:val="55333C3E"/>
    <w:rsid w:val="55C90B77"/>
    <w:rsid w:val="564E7DEA"/>
    <w:rsid w:val="59142C25"/>
    <w:rsid w:val="5AD636B5"/>
    <w:rsid w:val="5F85487D"/>
    <w:rsid w:val="60E07891"/>
    <w:rsid w:val="62917095"/>
    <w:rsid w:val="64964E36"/>
    <w:rsid w:val="64CA39A1"/>
    <w:rsid w:val="673150EB"/>
    <w:rsid w:val="6C4A05C8"/>
    <w:rsid w:val="6E8B4450"/>
    <w:rsid w:val="6F885C58"/>
    <w:rsid w:val="72734D90"/>
    <w:rsid w:val="79B220BA"/>
    <w:rsid w:val="79E7B28D"/>
    <w:rsid w:val="7C156122"/>
    <w:rsid w:val="7EFE00B4"/>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qFormat/>
    <w:uiPriority w:val="99"/>
    <w:rPr>
      <w:color w:val="954F72"/>
      <w:u w:val="single"/>
    </w:rPr>
  </w:style>
  <w:style w:type="character" w:styleId="16">
    <w:name w:val="Hyperlink"/>
    <w:basedOn w:val="13"/>
    <w:unhideWhenUsed/>
    <w:qFormat/>
    <w:uiPriority w:val="99"/>
    <w:rPr>
      <w:color w:val="0000FF" w:themeColor="hyperlink"/>
      <w:u w:val="single"/>
    </w:rPr>
  </w:style>
  <w:style w:type="character" w:customStyle="1" w:styleId="17">
    <w:name w:val="正文文本 Char"/>
    <w:link w:val="2"/>
    <w:qFormat/>
    <w:locked/>
    <w:uiPriority w:val="99"/>
    <w:rPr>
      <w:rFonts w:ascii="仿宋_GB2312" w:hAnsi="Times New Roman" w:eastAsia="仿宋_GB2312" w:cs="Times New Roman"/>
      <w:sz w:val="30"/>
      <w:szCs w:val="24"/>
    </w:rPr>
  </w:style>
  <w:style w:type="character" w:customStyle="1" w:styleId="18">
    <w:name w:val="标题 1 Char"/>
    <w:basedOn w:val="13"/>
    <w:link w:val="3"/>
    <w:qFormat/>
    <w:uiPriority w:val="9"/>
    <w:rPr>
      <w:rFonts w:ascii="Times New Roman" w:hAnsi="Times New Roman"/>
      <w:b/>
      <w:bCs/>
      <w:kern w:val="44"/>
      <w:sz w:val="44"/>
      <w:szCs w:val="44"/>
    </w:rPr>
  </w:style>
  <w:style w:type="character" w:customStyle="1" w:styleId="19">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0">
    <w:name w:val="标题 3 Char"/>
    <w:basedOn w:val="13"/>
    <w:link w:val="5"/>
    <w:qFormat/>
    <w:uiPriority w:val="9"/>
    <w:rPr>
      <w:rFonts w:ascii="Times New Roman" w:hAnsi="Times New Roman"/>
      <w:b/>
      <w:bCs/>
      <w:kern w:val="2"/>
      <w:sz w:val="32"/>
      <w:szCs w:val="32"/>
    </w:rPr>
  </w:style>
  <w:style w:type="character" w:customStyle="1" w:styleId="21">
    <w:name w:val="批注框文本 Char"/>
    <w:basedOn w:val="13"/>
    <w:link w:val="7"/>
    <w:semiHidden/>
    <w:qFormat/>
    <w:uiPriority w:val="99"/>
    <w:rPr>
      <w:rFonts w:ascii="Times New Roman" w:hAnsi="Times New Roman"/>
      <w:kern w:val="2"/>
      <w:sz w:val="18"/>
      <w:szCs w:val="18"/>
    </w:rPr>
  </w:style>
  <w:style w:type="character" w:customStyle="1" w:styleId="22">
    <w:name w:val="页脚 Char"/>
    <w:link w:val="8"/>
    <w:qFormat/>
    <w:locked/>
    <w:uiPriority w:val="99"/>
    <w:rPr>
      <w:sz w:val="18"/>
    </w:rPr>
  </w:style>
  <w:style w:type="character" w:customStyle="1" w:styleId="23">
    <w:name w:val="页眉 Char"/>
    <w:link w:val="9"/>
    <w:semiHidden/>
    <w:qFormat/>
    <w:locked/>
    <w:uiPriority w:val="99"/>
    <w:rPr>
      <w:sz w:val="18"/>
    </w:rPr>
  </w:style>
  <w:style w:type="character" w:customStyle="1" w:styleId="24">
    <w:name w:val="Header Char"/>
    <w:basedOn w:val="13"/>
    <w:semiHidden/>
    <w:qFormat/>
    <w:uiPriority w:val="99"/>
    <w:rPr>
      <w:rFonts w:ascii="Times New Roman" w:hAnsi="Times New Roman"/>
      <w:sz w:val="18"/>
      <w:szCs w:val="18"/>
    </w:rPr>
  </w:style>
  <w:style w:type="character" w:customStyle="1" w:styleId="25">
    <w:name w:val="Footer Char"/>
    <w:basedOn w:val="13"/>
    <w:semiHidden/>
    <w:qFormat/>
    <w:uiPriority w:val="99"/>
    <w:rPr>
      <w:rFonts w:ascii="Times New Roman" w:hAnsi="Times New Roman"/>
      <w:sz w:val="18"/>
      <w:szCs w:val="18"/>
    </w:rPr>
  </w:style>
  <w:style w:type="character" w:customStyle="1" w:styleId="26">
    <w:name w:val="Body Text Char"/>
    <w:basedOn w:val="13"/>
    <w:semiHidden/>
    <w:qFormat/>
    <w:uiPriority w:val="99"/>
    <w:rPr>
      <w:rFonts w:ascii="Times New Roman" w:hAnsi="Times New Roman"/>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
    <w:name w:val="xl66"/>
    <w:basedOn w:val="1"/>
    <w:qFormat/>
    <w:uiPriority w:val="0"/>
    <w:pPr>
      <w:widowControl/>
      <w:spacing w:before="100" w:beforeAutospacing="1" w:after="100" w:afterAutospacing="1"/>
      <w:jc w:val="right"/>
    </w:pPr>
    <w:rPr>
      <w:rFonts w:ascii="宋体" w:hAnsi="宋体" w:cs="宋体"/>
      <w:kern w:val="0"/>
      <w:sz w:val="24"/>
    </w:rPr>
  </w:style>
  <w:style w:type="paragraph" w:customStyle="1" w:styleId="33">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xl68"/>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5">
    <w:name w:val="xl69"/>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6">
    <w:name w:val="xl70"/>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37">
    <w:name w:val="xl71"/>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8">
    <w:name w:val="xl72"/>
    <w:basedOn w:val="1"/>
    <w:uiPriority w:val="0"/>
    <w:pPr>
      <w:widowControl/>
      <w:pBdr>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39">
    <w:name w:val="xl73"/>
    <w:basedOn w:val="1"/>
    <w:uiPriority w:val="0"/>
    <w:pPr>
      <w:widowControl/>
      <w:pBdr>
        <w:bottom w:val="single" w:color="000000" w:sz="8"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0">
    <w:name w:val="xl74"/>
    <w:basedOn w:val="1"/>
    <w:qFormat/>
    <w:uiPriority w:val="0"/>
    <w:pPr>
      <w:widowControl/>
      <w:pBdr>
        <w:bottom w:val="single" w:color="000000" w:sz="8"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1">
    <w:name w:val="xl75"/>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2">
    <w:name w:val="xl76"/>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43">
    <w:name w:val="xl7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44">
    <w:name w:val="xl78"/>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5">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6">
    <w:name w:val="xl80"/>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47">
    <w:name w:val="xl81"/>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8">
    <w:name w:val="xl8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49">
    <w:name w:val="xl83"/>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50">
    <w:name w:val="xl84"/>
    <w:basedOn w:val="1"/>
    <w:uiPriority w:val="0"/>
    <w:pPr>
      <w:widowControl/>
      <w:spacing w:before="100" w:beforeAutospacing="1" w:after="100" w:afterAutospacing="1"/>
      <w:jc w:val="center"/>
    </w:pPr>
    <w:rPr>
      <w:rFonts w:ascii="宋体" w:hAnsi="宋体" w:cs="宋体"/>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a:t>
            </a:r>
            <a:endParaRPr lang="zh-CN" altLang="en-US"/>
          </a:p>
        </c:rich>
      </c:tx>
      <c:layout/>
      <c:overlay val="0"/>
    </c:title>
    <c:autoTitleDeleted val="0"/>
    <c:plotArea>
      <c:layout/>
      <c:barChart>
        <c:barDir val="col"/>
        <c:grouping val="stacked"/>
        <c:varyColors val="0"/>
        <c:ser>
          <c:idx val="0"/>
          <c:order val="0"/>
          <c:tx>
            <c:strRef>
              <c:f>Sheet1!$B$1</c:f>
              <c:strCache>
                <c:ptCount val="1"/>
                <c:pt idx="0">
                  <c:v>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2020年度收入、支出总计</c:v>
                </c:pt>
                <c:pt idx="1">
                  <c:v>2021年度收入、支出总计</c:v>
                </c:pt>
              </c:strCache>
            </c:strRef>
          </c:cat>
          <c:val>
            <c:numRef>
              <c:f>Sheet1!$B$2:$B$3</c:f>
              <c:numCache>
                <c:formatCode>General</c:formatCode>
                <c:ptCount val="2"/>
                <c:pt idx="0">
                  <c:v>9365.84</c:v>
                </c:pt>
                <c:pt idx="1">
                  <c:v>6806.04</c:v>
                </c:pt>
              </c:numCache>
            </c:numRef>
          </c:val>
        </c:ser>
        <c:dLbls>
          <c:showLegendKey val="0"/>
          <c:showVal val="1"/>
          <c:showCatName val="0"/>
          <c:showSerName val="0"/>
          <c:showPercent val="0"/>
          <c:showBubbleSize val="0"/>
        </c:dLbls>
        <c:gapWidth val="95"/>
        <c:overlap val="100"/>
        <c:axId val="70529792"/>
        <c:axId val="70532480"/>
      </c:barChart>
      <c:catAx>
        <c:axId val="7052979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532480"/>
        <c:crosses val="autoZero"/>
        <c:auto val="1"/>
        <c:lblAlgn val="ctr"/>
        <c:lblOffset val="100"/>
        <c:noMultiLvlLbl val="0"/>
      </c:catAx>
      <c:valAx>
        <c:axId val="7053248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52979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2021年本年收入合计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6425.76</c:v>
                </c:pt>
                <c:pt idx="1">
                  <c:v>70.58</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2021年度本年支出合计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6061.31</c:v>
                </c:pt>
                <c:pt idx="1">
                  <c:v>625.7</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万元</a:t>
            </a:r>
            <a:endParaRPr lang="zh-CN" altLang="en-US" sz="1000"/>
          </a:p>
        </c:rich>
      </c:tx>
      <c:layout/>
      <c:overlay val="0"/>
    </c:title>
    <c:autoTitleDeleted val="0"/>
    <c:plotArea>
      <c:layout/>
      <c:barChart>
        <c:barDir val="col"/>
        <c:grouping val="stacked"/>
        <c:varyColors val="0"/>
        <c:ser>
          <c:idx val="0"/>
          <c:order val="0"/>
          <c:tx>
            <c:strRef>
              <c:f>Sheet1!$B$1</c:f>
              <c:strCache>
                <c:ptCount val="1"/>
                <c:pt idx="0">
                  <c:v>财政拨款收、支总计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9246.79999999998</c:v>
                </c:pt>
                <c:pt idx="1">
                  <c:v>6687.01</c:v>
                </c:pt>
              </c:numCache>
            </c:numRef>
          </c:val>
        </c:ser>
        <c:dLbls>
          <c:showLegendKey val="0"/>
          <c:showVal val="1"/>
          <c:showCatName val="0"/>
          <c:showSerName val="0"/>
          <c:showPercent val="0"/>
          <c:showBubbleSize val="0"/>
        </c:dLbls>
        <c:gapWidth val="75"/>
        <c:overlap val="100"/>
        <c:axId val="87089536"/>
        <c:axId val="87092224"/>
      </c:barChart>
      <c:catAx>
        <c:axId val="870895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092224"/>
        <c:crosses val="autoZero"/>
        <c:auto val="1"/>
        <c:lblAlgn val="ctr"/>
        <c:lblOffset val="100"/>
        <c:noMultiLvlLbl val="0"/>
      </c:catAx>
      <c:valAx>
        <c:axId val="87092224"/>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08953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8157.93</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6687.01</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8157.93</c:v>
                </c:pt>
                <c:pt idx="1">
                  <c:v>6687.01</c:v>
                </c:pt>
              </c:numCache>
            </c:numRef>
          </c:val>
        </c:ser>
        <c:dLbls>
          <c:showLegendKey val="0"/>
          <c:showVal val="1"/>
          <c:showCatName val="0"/>
          <c:showSerName val="0"/>
          <c:showPercent val="0"/>
          <c:showBubbleSize val="0"/>
        </c:dLbls>
        <c:gapWidth val="75"/>
        <c:overlap val="100"/>
        <c:axId val="208247808"/>
        <c:axId val="214942080"/>
      </c:barChart>
      <c:catAx>
        <c:axId val="20824780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942080"/>
        <c:crosses val="autoZero"/>
        <c:auto val="1"/>
        <c:lblAlgn val="ctr"/>
        <c:lblOffset val="100"/>
        <c:noMultiLvlLbl val="0"/>
      </c:catAx>
      <c:valAx>
        <c:axId val="2149420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824780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958223919337317"/>
          <c:y val="0.204508994639214"/>
          <c:w val="0.492620646112952"/>
          <c:h val="0.702186690247348"/>
        </c:manualLayout>
      </c:layout>
      <c:pieChart>
        <c:varyColors val="1"/>
        <c:ser>
          <c:idx val="0"/>
          <c:order val="0"/>
          <c:tx>
            <c:strRef>
              <c:f>Sheet1!$B$1</c:f>
              <c:strCache>
                <c:ptCount val="1"/>
                <c:pt idx="0">
                  <c:v>万元</c:v>
                </c:pt>
              </c:strCache>
            </c:strRef>
          </c:tx>
          <c:explosion val="25"/>
          <c:dPt>
            <c:idx val="0"/>
            <c:bubble3D val="0"/>
          </c:dPt>
          <c:dPt>
            <c:idx val="1"/>
            <c:bubble3D val="0"/>
          </c:dPt>
          <c:dPt>
            <c:idx val="2"/>
            <c:bubble3D val="0"/>
          </c:dPt>
          <c:dPt>
            <c:idx val="3"/>
            <c:bubble3D val="0"/>
          </c:dPt>
          <c:dLbls>
            <c:dLbl>
              <c:idx val="0"/>
              <c:layout>
                <c:manualLayout>
                  <c:x val="0.122540009972868"/>
                  <c:y val="0.028808952155070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350633542586614"/>
                  <c:y val="0.025375627938351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一般公共服务支出</c:v>
                </c:pt>
                <c:pt idx="1">
                  <c:v>教育支出</c:v>
                </c:pt>
                <c:pt idx="2">
                  <c:v>社会保障和就业</c:v>
                </c:pt>
                <c:pt idx="3">
                  <c:v>住房保障支出（86号文人员）</c:v>
                </c:pt>
              </c:strCache>
            </c:strRef>
          </c:cat>
          <c:val>
            <c:numRef>
              <c:f>Sheet1!$B$2:$B$5</c:f>
              <c:numCache>
                <c:formatCode>General</c:formatCode>
                <c:ptCount val="4"/>
                <c:pt idx="0">
                  <c:v>0.28</c:v>
                </c:pt>
                <c:pt idx="1">
                  <c:v>6277.18</c:v>
                </c:pt>
                <c:pt idx="2">
                  <c:v>404.29</c:v>
                </c:pt>
                <c:pt idx="3">
                  <c:v>5.27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三公经费财政拨款支出</a:t>
            </a:r>
            <a:endParaRPr lang="zh-CN" altLang="en-US"/>
          </a:p>
        </c:rich>
      </c:tx>
      <c:layout/>
      <c:overlay val="0"/>
    </c:title>
    <c:autoTitleDeleted val="0"/>
    <c:plotArea>
      <c:layout/>
      <c:pieChart>
        <c:varyColors val="1"/>
        <c:ser>
          <c:idx val="0"/>
          <c:order val="0"/>
          <c:tx>
            <c:strRef>
              <c:f>Sheet1!$B$1</c:f>
              <c:strCache>
                <c:ptCount val="1"/>
                <c:pt idx="0">
                  <c:v>万元</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2.93</c:v>
                </c:pt>
                <c:pt idx="1">
                  <c:v>1</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CC62-FAF1-4081-96CD-4D9BE7007C4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1239</Words>
  <Characters>7065</Characters>
  <Lines>58</Lines>
  <Paragraphs>16</Paragraphs>
  <TotalTime>18</TotalTime>
  <ScaleCrop>false</ScaleCrop>
  <LinksUpToDate>false</LinksUpToDate>
  <CharactersWithSpaces>8288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李亮</cp:lastModifiedBy>
  <cp:lastPrinted>2022-08-06T02:23:00Z</cp:lastPrinted>
  <dcterms:modified xsi:type="dcterms:W3CDTF">2023-10-13T03:33:30Z</dcterms:modified>
  <dc:title>四川省***</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19FCEDDAF774457BA0C3CD77C222047C</vt:lpwstr>
  </property>
</Properties>
</file>