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597"/>
      <w:bookmarkStart w:id="2" w:name="_Toc15377193"/>
      <w:bookmarkStart w:id="3" w:name="_Toc15378441"/>
      <w:bookmarkStart w:id="4" w:name="_Toc15396475"/>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598"/>
      <w:bookmarkStart w:id="7" w:name="_Toc15396476"/>
      <w:bookmarkStart w:id="8" w:name="_Toc15378442"/>
      <w:bookmarkStart w:id="9" w:name="_Toc15377426"/>
      <w:bookmarkStart w:id="10" w:name="_Toc15377194"/>
      <w:r>
        <w:rPr>
          <w:rFonts w:hint="eastAsia" w:ascii="方正小标宋简体" w:hAnsi="方正小标宋简体" w:eastAsia="方正小标宋简体" w:cs="方正小标宋简体"/>
          <w:sz w:val="72"/>
          <w:szCs w:val="72"/>
        </w:rPr>
        <w:t>攀枝花市</w:t>
      </w:r>
      <w:bookmarkEnd w:id="0"/>
      <w:bookmarkStart w:id="11" w:name="_Toc15306268"/>
      <w:r>
        <w:rPr>
          <w:rFonts w:hint="eastAsia" w:ascii="方正小标宋简体" w:hAnsi="方正小标宋简体" w:eastAsia="方正小标宋简体" w:cs="方正小标宋简体"/>
          <w:sz w:val="72"/>
          <w:szCs w:val="72"/>
        </w:rPr>
        <w:t>建筑工程学校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公开时间：2023年9月</w:t>
      </w:r>
      <w:r>
        <w:rPr>
          <w:rFonts w:hint="eastAsia"/>
          <w:lang w:val="en-US" w:eastAsia="zh-CN"/>
        </w:rPr>
        <w:t xml:space="preserve"> 15</w:t>
      </w:r>
      <w:r>
        <w:rPr>
          <w:rFonts w:hint="eastAsia"/>
        </w:rPr>
        <w:t>日</w:t>
      </w:r>
    </w:p>
    <w:p/>
    <w:p>
      <w:pPr>
        <w:pStyle w:val="11"/>
        <w:adjustRightInd w:val="0"/>
        <w:snapToGrid w:val="0"/>
        <w:spacing w:before="0" w:line="440" w:lineRule="exact"/>
        <w:jc w:val="left"/>
        <w:rPr>
          <w:rFonts w:cstheme="minorBidi"/>
          <w:sz w:val="24"/>
          <w:szCs w:val="24"/>
        </w:rPr>
      </w:pPr>
      <w:r>
        <w:rPr>
          <w:rFonts w:hint="eastAsia" w:ascii="黑体" w:hAnsi="黑体" w:eastAsia="黑体" w:cs="黑体"/>
          <w:sz w:val="24"/>
        </w:rPr>
        <w:t>第一部分单位概况</w:t>
      </w:r>
      <w:r>
        <w:rPr>
          <w:rFonts w:cstheme="minorBidi"/>
          <w:sz w:val="24"/>
          <w:szCs w:val="24"/>
        </w:rPr>
        <w:tab/>
      </w:r>
      <w:r>
        <w:rPr>
          <w:rFonts w:hint="eastAsia" w:cstheme="minorBidi"/>
          <w:sz w:val="24"/>
          <w:szCs w:val="24"/>
        </w:rPr>
        <w:t>4</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一、主要职责</w:t>
      </w:r>
      <w:r>
        <w:rPr>
          <w:rFonts w:hint="eastAsia" w:ascii="仿宋" w:hAnsi="仿宋" w:eastAsia="仿宋" w:cs="仿宋"/>
          <w:sz w:val="24"/>
        </w:rPr>
        <w:tab/>
      </w:r>
      <w:r>
        <w:rPr>
          <w:rFonts w:hint="eastAsia" w:ascii="仿宋" w:hAnsi="仿宋" w:eastAsia="仿宋" w:cs="仿宋"/>
          <w:sz w:val="24"/>
        </w:rPr>
        <w:t>4</w:t>
      </w:r>
    </w:p>
    <w:p>
      <w:pPr>
        <w:pStyle w:val="12"/>
        <w:adjustRightInd w:val="0"/>
        <w:snapToGrid w:val="0"/>
        <w:spacing w:line="440" w:lineRule="exact"/>
        <w:jc w:val="left"/>
        <w:rPr>
          <w:rFonts w:ascii="仿宋" w:hAnsi="仿宋" w:eastAsia="仿宋" w:cs="仿宋"/>
        </w:rPr>
      </w:pPr>
      <w:r>
        <w:rPr>
          <w:rFonts w:hint="eastAsia" w:ascii="仿宋" w:hAnsi="仿宋" w:eastAsia="仿宋" w:cs="仿宋"/>
          <w:sz w:val="24"/>
        </w:rPr>
        <w:t>二、机构设置</w:t>
      </w:r>
      <w:r>
        <w:rPr>
          <w:rFonts w:hint="eastAsia" w:ascii="仿宋" w:hAnsi="仿宋" w:eastAsia="仿宋" w:cs="仿宋"/>
          <w:sz w:val="24"/>
        </w:rPr>
        <w:tab/>
      </w:r>
      <w:r>
        <w:rPr>
          <w:rFonts w:hint="eastAsia" w:ascii="仿宋" w:hAnsi="仿宋" w:eastAsia="仿宋" w:cs="仿宋"/>
          <w:sz w:val="24"/>
        </w:rPr>
        <w:t>5</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第二部分2022年度单位决算情况说明</w:t>
      </w:r>
      <w:r>
        <w:rPr>
          <w:rFonts w:hint="eastAsia" w:ascii="黑体" w:hAnsi="黑体" w:eastAsia="黑体" w:cs="黑体"/>
          <w:sz w:val="24"/>
        </w:rPr>
        <w:tab/>
      </w:r>
      <w:r>
        <w:rPr>
          <w:rFonts w:hint="eastAsia" w:ascii="黑体" w:hAnsi="黑体" w:eastAsia="黑体" w:cs="黑体"/>
          <w:sz w:val="24"/>
        </w:rPr>
        <w:t>5</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一、收入支出决算总体情况说明</w:t>
      </w:r>
      <w:r>
        <w:rPr>
          <w:rFonts w:hint="eastAsia" w:ascii="仿宋" w:hAnsi="仿宋" w:eastAsia="仿宋" w:cs="仿宋"/>
          <w:sz w:val="24"/>
        </w:rPr>
        <w:tab/>
      </w:r>
      <w:r>
        <w:rPr>
          <w:rFonts w:hint="eastAsia" w:ascii="仿宋" w:hAnsi="仿宋" w:eastAsia="仿宋" w:cs="仿宋"/>
          <w:sz w:val="24"/>
        </w:rPr>
        <w:t>5</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二、收入决算情况说明</w:t>
      </w:r>
      <w:r>
        <w:rPr>
          <w:rFonts w:hint="eastAsia" w:ascii="仿宋" w:hAnsi="仿宋" w:eastAsia="仿宋" w:cs="仿宋"/>
          <w:sz w:val="24"/>
        </w:rPr>
        <w:tab/>
      </w:r>
      <w:r>
        <w:rPr>
          <w:rFonts w:hint="eastAsia" w:ascii="仿宋" w:hAnsi="仿宋" w:eastAsia="仿宋" w:cs="仿宋"/>
          <w:sz w:val="24"/>
        </w:rPr>
        <w:t>6</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三、支出决算情况说明</w:t>
      </w:r>
      <w:r>
        <w:rPr>
          <w:rFonts w:hint="eastAsia" w:ascii="仿宋" w:hAnsi="仿宋" w:eastAsia="仿宋" w:cs="仿宋"/>
          <w:sz w:val="24"/>
        </w:rPr>
        <w:tab/>
      </w:r>
      <w:r>
        <w:rPr>
          <w:rFonts w:hint="eastAsia" w:ascii="仿宋" w:hAnsi="仿宋" w:eastAsia="仿宋" w:cs="仿宋"/>
          <w:sz w:val="24"/>
        </w:rPr>
        <w:t>7</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四、财政拨款收入支出决算总体情况说明</w:t>
      </w:r>
      <w:r>
        <w:rPr>
          <w:rFonts w:hint="eastAsia" w:ascii="仿宋" w:hAnsi="仿宋" w:eastAsia="仿宋" w:cs="仿宋"/>
          <w:sz w:val="24"/>
        </w:rPr>
        <w:tab/>
      </w:r>
      <w:r>
        <w:rPr>
          <w:rFonts w:hint="eastAsia" w:ascii="仿宋" w:hAnsi="仿宋" w:eastAsia="仿宋" w:cs="仿宋"/>
          <w:sz w:val="24"/>
        </w:rPr>
        <w:t>8</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五、一般公共预算财政拨款支出决算情况说明</w:t>
      </w:r>
      <w:r>
        <w:rPr>
          <w:rFonts w:hint="eastAsia" w:ascii="仿宋" w:hAnsi="仿宋" w:eastAsia="仿宋" w:cs="仿宋"/>
          <w:sz w:val="24"/>
        </w:rPr>
        <w:tab/>
      </w:r>
      <w:r>
        <w:rPr>
          <w:rFonts w:hint="eastAsia" w:ascii="仿宋" w:hAnsi="仿宋" w:eastAsia="仿宋" w:cs="仿宋"/>
          <w:sz w:val="24"/>
        </w:rPr>
        <w:t>8</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六、一般公共预算财政拨款基本支出决算情况说明</w:t>
      </w:r>
      <w:r>
        <w:rPr>
          <w:rFonts w:hint="eastAsia" w:ascii="仿宋" w:hAnsi="仿宋" w:eastAsia="仿宋" w:cs="仿宋"/>
          <w:sz w:val="24"/>
        </w:rPr>
        <w:tab/>
      </w:r>
      <w:r>
        <w:rPr>
          <w:rFonts w:hint="eastAsia" w:ascii="仿宋" w:hAnsi="仿宋" w:eastAsia="仿宋" w:cs="仿宋"/>
          <w:sz w:val="24"/>
        </w:rPr>
        <w:t>11</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七、财政拨款“三公”经费支出决算情况说明</w:t>
      </w:r>
      <w:r>
        <w:rPr>
          <w:rFonts w:hint="eastAsia" w:ascii="仿宋" w:hAnsi="仿宋" w:eastAsia="仿宋" w:cs="仿宋"/>
          <w:sz w:val="24"/>
        </w:rPr>
        <w:tab/>
      </w:r>
      <w:r>
        <w:rPr>
          <w:rFonts w:hint="eastAsia" w:ascii="仿宋" w:hAnsi="仿宋" w:eastAsia="仿宋" w:cs="仿宋"/>
          <w:sz w:val="24"/>
        </w:rPr>
        <w:t>11</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八、政府性基金预算支出决算情况说明</w:t>
      </w:r>
      <w:r>
        <w:rPr>
          <w:rFonts w:hint="eastAsia" w:ascii="仿宋" w:hAnsi="仿宋" w:eastAsia="仿宋" w:cs="仿宋"/>
          <w:sz w:val="24"/>
        </w:rPr>
        <w:tab/>
      </w:r>
      <w:r>
        <w:rPr>
          <w:rFonts w:hint="eastAsia" w:ascii="仿宋" w:hAnsi="仿宋" w:eastAsia="仿宋" w:cs="仿宋"/>
          <w:sz w:val="24"/>
        </w:rPr>
        <w:t>14</w:t>
      </w:r>
    </w:p>
    <w:p>
      <w:pPr>
        <w:pStyle w:val="12"/>
        <w:adjustRightInd w:val="0"/>
        <w:snapToGrid w:val="0"/>
        <w:spacing w:line="440" w:lineRule="exact"/>
        <w:jc w:val="left"/>
        <w:rPr>
          <w:rFonts w:ascii="仿宋" w:hAnsi="仿宋" w:eastAsia="仿宋" w:cs="仿宋"/>
          <w:sz w:val="24"/>
        </w:rPr>
      </w:pPr>
      <w:r>
        <w:rPr>
          <w:rFonts w:hint="eastAsia" w:ascii="仿宋" w:hAnsi="仿宋" w:eastAsia="仿宋" w:cs="仿宋"/>
          <w:sz w:val="24"/>
        </w:rPr>
        <w:t>九、国有资本经营预算支出决算情况说明</w:t>
      </w:r>
      <w:r>
        <w:rPr>
          <w:rFonts w:hint="eastAsia" w:ascii="仿宋" w:hAnsi="仿宋" w:eastAsia="仿宋" w:cs="仿宋"/>
          <w:sz w:val="24"/>
        </w:rPr>
        <w:tab/>
      </w:r>
      <w:r>
        <w:rPr>
          <w:rFonts w:hint="eastAsia" w:ascii="仿宋" w:hAnsi="仿宋" w:eastAsia="仿宋" w:cs="仿宋"/>
          <w:sz w:val="24"/>
        </w:rPr>
        <w:t>14</w:t>
      </w:r>
    </w:p>
    <w:p>
      <w:pPr>
        <w:pStyle w:val="12"/>
        <w:adjustRightInd w:val="0"/>
        <w:snapToGrid w:val="0"/>
        <w:spacing w:line="440" w:lineRule="exact"/>
        <w:jc w:val="left"/>
        <w:rPr>
          <w:sz w:val="24"/>
        </w:rPr>
      </w:pPr>
      <w:r>
        <w:rPr>
          <w:rFonts w:hint="eastAsia" w:ascii="仿宋" w:hAnsi="仿宋" w:eastAsia="仿宋" w:cs="仿宋"/>
          <w:sz w:val="24"/>
        </w:rPr>
        <w:t>十、其他重要事项的情况说明</w:t>
      </w:r>
      <w:r>
        <w:rPr>
          <w:rFonts w:hint="eastAsia" w:ascii="仿宋" w:hAnsi="仿宋" w:eastAsia="仿宋" w:cs="仿宋"/>
          <w:sz w:val="24"/>
        </w:rPr>
        <w:tab/>
      </w:r>
      <w:r>
        <w:rPr>
          <w:rFonts w:hint="eastAsia" w:cstheme="minorBidi"/>
          <w:sz w:val="24"/>
        </w:rPr>
        <w:t>14</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第三部分名词解释</w:t>
      </w:r>
      <w:r>
        <w:rPr>
          <w:rFonts w:hint="eastAsia" w:ascii="黑体" w:hAnsi="黑体" w:eastAsia="黑体" w:cs="黑体"/>
          <w:sz w:val="24"/>
        </w:rPr>
        <w:tab/>
      </w:r>
      <w:r>
        <w:rPr>
          <w:rFonts w:hint="eastAsia" w:ascii="黑体" w:hAnsi="黑体" w:eastAsia="黑体" w:cs="黑体"/>
          <w:sz w:val="24"/>
        </w:rPr>
        <w:t>15</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第四部分附件</w:t>
      </w:r>
      <w:r>
        <w:rPr>
          <w:rFonts w:hint="eastAsia" w:ascii="黑体" w:hAnsi="黑体" w:eastAsia="黑体" w:cs="黑体"/>
          <w:sz w:val="24"/>
        </w:rPr>
        <w:tab/>
      </w:r>
      <w:r>
        <w:rPr>
          <w:rFonts w:hint="eastAsia" w:ascii="黑体" w:hAnsi="黑体" w:eastAsia="黑体" w:cs="黑体"/>
          <w:sz w:val="24"/>
        </w:rPr>
        <w:t>17</w:t>
      </w:r>
    </w:p>
    <w:p>
      <w:pPr>
        <w:pStyle w:val="11"/>
        <w:adjustRightInd w:val="0"/>
        <w:snapToGrid w:val="0"/>
        <w:spacing w:before="0" w:line="440" w:lineRule="exact"/>
        <w:jc w:val="left"/>
        <w:rPr>
          <w:rFonts w:ascii="黑体" w:hAnsi="黑体" w:eastAsia="黑体" w:cs="黑体"/>
          <w:sz w:val="24"/>
          <w:szCs w:val="24"/>
        </w:rPr>
      </w:pPr>
      <w:r>
        <w:rPr>
          <w:rFonts w:hint="eastAsia" w:ascii="黑体" w:hAnsi="黑体" w:eastAsia="黑体" w:cs="黑体"/>
          <w:sz w:val="24"/>
        </w:rPr>
        <w:t>第五部分附表</w:t>
      </w:r>
      <w:r>
        <w:rPr>
          <w:rFonts w:hint="eastAsia" w:ascii="黑体" w:hAnsi="黑体" w:eastAsia="黑体" w:cs="黑体"/>
          <w:sz w:val="24"/>
        </w:rPr>
        <w:tab/>
      </w:r>
      <w:r>
        <w:rPr>
          <w:rFonts w:hint="eastAsia" w:ascii="黑体" w:hAnsi="黑体" w:eastAsia="黑体" w:cs="黑体"/>
          <w:sz w:val="24"/>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一、收入支出决算总表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二、收入决算表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三、支出决算表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四、财政拨款收入支出决算总表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五、财政拨款支出决算明细表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六、一般公共预算财政拨款支出决算表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七、一般公共预算财政拨款支出决算明细表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八、一般公共预算财政拨款基本支出决算明细表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九、一般公共预算财政拨款项目支出决算表</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十、政府性基金预算财政拨款收入支出决算表</w:t>
      </w:r>
      <w:r>
        <w:rPr>
          <w:rFonts w:hint="eastAsia" w:ascii="仿宋" w:hAnsi="仿宋" w:eastAsia="仿宋" w:cs="仿宋"/>
          <w:sz w:val="24"/>
          <w:lang w:eastAsia="zh-CN"/>
        </w:rPr>
        <w:t>（此表无数据）</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十一、国有资本经营预算财政拨款收入支出决算表</w:t>
      </w:r>
      <w:r>
        <w:rPr>
          <w:rFonts w:hint="eastAsia" w:ascii="仿宋" w:hAnsi="仿宋" w:eastAsia="仿宋" w:cs="仿宋"/>
          <w:sz w:val="24"/>
          <w:lang w:eastAsia="zh-CN"/>
        </w:rPr>
        <w:t>（此表无数据）</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十二、国有资本经营预算财政拨款支出决算表</w:t>
      </w:r>
      <w:r>
        <w:rPr>
          <w:rFonts w:hint="eastAsia" w:ascii="仿宋" w:hAnsi="仿宋" w:eastAsia="仿宋" w:cs="仿宋"/>
          <w:sz w:val="24"/>
          <w:lang w:eastAsia="zh-CN"/>
        </w:rPr>
        <w:t>（此表无数据）</w:t>
      </w:r>
      <w:r>
        <w:rPr>
          <w:rFonts w:hint="eastAsia" w:ascii="黑体" w:hAnsi="黑体" w:eastAsia="黑体" w:cs="黑体"/>
          <w:sz w:val="24"/>
        </w:rPr>
        <w:tab/>
      </w:r>
      <w:r>
        <w:rPr>
          <w:rFonts w:hint="eastAsia" w:ascii="黑体" w:hAnsi="黑体" w:eastAsia="黑体" w:cs="黑体"/>
          <w:sz w:val="24"/>
          <w:lang w:val="en-US" w:eastAsia="zh-CN"/>
        </w:rPr>
        <w:t>18</w:t>
      </w:r>
    </w:p>
    <w:p>
      <w:pPr>
        <w:pStyle w:val="12"/>
        <w:adjustRightInd w:val="0"/>
        <w:snapToGrid w:val="0"/>
        <w:spacing w:line="440" w:lineRule="exact"/>
        <w:jc w:val="left"/>
        <w:rPr>
          <w:rFonts w:hint="default" w:ascii="仿宋" w:hAnsi="仿宋" w:eastAsia="黑体" w:cs="仿宋"/>
          <w:sz w:val="24"/>
          <w:lang w:val="en-US" w:eastAsia="zh-CN"/>
        </w:rPr>
      </w:pPr>
      <w:r>
        <w:rPr>
          <w:rFonts w:hint="eastAsia" w:ascii="仿宋" w:hAnsi="仿宋" w:eastAsia="仿宋" w:cs="仿宋"/>
          <w:sz w:val="24"/>
        </w:rPr>
        <w:t>十三、财政拨款“三公”经费支出决算表</w:t>
      </w:r>
      <w:r>
        <w:rPr>
          <w:rFonts w:hint="eastAsia" w:ascii="黑体" w:hAnsi="黑体" w:eastAsia="黑体" w:cs="黑体"/>
          <w:sz w:val="24"/>
        </w:rPr>
        <w:tab/>
      </w:r>
      <w:r>
        <w:rPr>
          <w:rFonts w:hint="eastAsia" w:ascii="黑体" w:hAnsi="黑体" w:eastAsia="黑体" w:cs="黑体"/>
          <w:sz w:val="24"/>
          <w:lang w:val="en-US" w:eastAsia="zh-CN"/>
        </w:rPr>
        <w:t>18</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7"/>
          <w:rFonts w:ascii="黑体" w:hAnsi="黑体" w:eastAsia="黑体"/>
          <w:b/>
          <w:bCs w:val="0"/>
        </w:rPr>
      </w:pPr>
      <w:r>
        <w:rPr>
          <w:rFonts w:hint="eastAsia" w:ascii="黑体" w:hAnsi="黑体" w:eastAsia="黑体"/>
          <w:b w:val="0"/>
        </w:rPr>
        <w:t>第一部分 单位</w:t>
      </w:r>
      <w:r>
        <w:rPr>
          <w:rStyle w:val="27"/>
          <w:rFonts w:hint="eastAsia" w:ascii="黑体" w:hAnsi="黑体" w:eastAsia="黑体"/>
          <w:b w:val="0"/>
          <w:bCs w:val="0"/>
        </w:rPr>
        <w:t>概况</w:t>
      </w:r>
      <w:bookmarkEnd w:id="12"/>
      <w:bookmarkEnd w:id="13"/>
    </w:p>
    <w:p>
      <w:pPr>
        <w:ind w:firstLine="640" w:firstLineChars="200"/>
        <w:rPr>
          <w:rFonts w:ascii="仿宋" w:hAnsi="仿宋" w:eastAsia="仿宋" w:cs="仿宋"/>
          <w:sz w:val="32"/>
          <w:szCs w:val="32"/>
        </w:rPr>
      </w:pPr>
      <w:r>
        <w:rPr>
          <w:rFonts w:hint="eastAsia" w:ascii="仿宋" w:hAnsi="仿宋" w:eastAsia="仿宋" w:cs="仿宋"/>
          <w:sz w:val="32"/>
          <w:szCs w:val="32"/>
        </w:rPr>
        <w:t>攀枝花市建筑工程学校创办于1978年，系攀枝花市政府主办、攀枝花市教育和体育局直属的公办学校，占地面积145亩，现有学生3000余人。2022年学校继续保持了国家中等职业教育改革发展示范学校、四川省精神文明单位、卫生先进单位，四川省校风示范学校、中职学生内务管理示范学校；四川省中等职业学校教学诊断与改进工作试点学校、现代学徒制试点学校、全国“1+X”证书制度试点学校等荣誉称号，2022年成功立项四川省中等职业学校“三名工程”四星名校建设单位。</w:t>
      </w:r>
    </w:p>
    <w:p>
      <w:pPr>
        <w:pStyle w:val="4"/>
        <w:numPr>
          <w:ilvl w:val="0"/>
          <w:numId w:val="1"/>
        </w:numPr>
      </w:pPr>
      <w:bookmarkStart w:id="14" w:name="_Toc15396600"/>
      <w:bookmarkStart w:id="15" w:name="_Toc15377197"/>
      <w:r>
        <w:rPr>
          <w:rStyle w:val="28"/>
          <w:rFonts w:hint="eastAsia" w:ascii="黑体" w:hAnsi="黑体" w:eastAsia="黑体"/>
          <w:b w:val="0"/>
          <w:bCs w:val="0"/>
        </w:rPr>
        <w:t>主要职责</w:t>
      </w:r>
    </w:p>
    <w:p>
      <w:pPr>
        <w:pStyle w:val="2"/>
        <w:numPr>
          <w:ilvl w:val="0"/>
          <w:numId w:val="2"/>
        </w:numPr>
        <w:spacing w:before="93"/>
        <w:rPr>
          <w:rFonts w:ascii="仿宋" w:hAnsi="仿宋" w:eastAsia="仿宋" w:cs="仿宋"/>
          <w:sz w:val="32"/>
          <w:szCs w:val="32"/>
        </w:rPr>
      </w:pPr>
      <w:r>
        <w:rPr>
          <w:rFonts w:hint="eastAsia" w:ascii="仿宋" w:hAnsi="仿宋" w:eastAsia="仿宋" w:cs="仿宋"/>
          <w:sz w:val="32"/>
          <w:szCs w:val="32"/>
        </w:rPr>
        <w:t>全面贯彻国家职业教育方针，坚持为社会主义现代化建设服务，以就业为导向，努力培养和造就市场需要的有一技之长的专业人才。</w:t>
      </w:r>
    </w:p>
    <w:p>
      <w:pPr>
        <w:pStyle w:val="2"/>
        <w:numPr>
          <w:ilvl w:val="0"/>
          <w:numId w:val="2"/>
        </w:numPr>
        <w:spacing w:before="93"/>
        <w:rPr>
          <w:rFonts w:ascii="仿宋" w:hAnsi="仿宋" w:eastAsia="仿宋" w:cs="仿宋"/>
          <w:sz w:val="32"/>
          <w:szCs w:val="32"/>
        </w:rPr>
      </w:pPr>
      <w:r>
        <w:rPr>
          <w:rFonts w:hint="eastAsia" w:ascii="仿宋" w:hAnsi="仿宋" w:eastAsia="仿宋" w:cs="仿宋"/>
          <w:sz w:val="32"/>
          <w:szCs w:val="32"/>
        </w:rPr>
        <w:t>以立德树人为根本任务，加强学生思想道德和职业道德教育，加强新技术教育和技能训练，为学生全面成才、持续发展奠定扎实基础。</w:t>
      </w:r>
    </w:p>
    <w:p>
      <w:pPr>
        <w:pStyle w:val="2"/>
        <w:numPr>
          <w:ilvl w:val="0"/>
          <w:numId w:val="2"/>
        </w:numPr>
        <w:spacing w:before="93"/>
        <w:rPr>
          <w:rFonts w:ascii="仿宋" w:hAnsi="仿宋" w:eastAsia="仿宋" w:cs="仿宋"/>
          <w:sz w:val="32"/>
          <w:szCs w:val="32"/>
        </w:rPr>
      </w:pPr>
      <w:r>
        <w:rPr>
          <w:rFonts w:hint="eastAsia" w:ascii="仿宋" w:hAnsi="仿宋" w:eastAsia="仿宋" w:cs="仿宋"/>
          <w:sz w:val="32"/>
          <w:szCs w:val="32"/>
        </w:rPr>
        <w:t>加强校企合作，发挥校企联合办学的整体优势。主动适应企业用人需求，努力提高人才培养质量，使毕业生素质与企业的需求相适应，鼓励教师到企业实践锻炼，聘任优秀技能人才到学校兼课，不断提高“双师型”教师队伍的建设。</w:t>
      </w:r>
    </w:p>
    <w:p>
      <w:pPr>
        <w:pStyle w:val="4"/>
        <w:numPr>
          <w:ilvl w:val="0"/>
          <w:numId w:val="1"/>
        </w:numPr>
        <w:rPr>
          <w:rFonts w:ascii="黑体" w:hAnsi="黑体" w:eastAsia="黑体"/>
          <w:b w:val="0"/>
        </w:rPr>
      </w:pPr>
      <w:r>
        <w:rPr>
          <w:rFonts w:hint="eastAsia" w:ascii="黑体" w:hAnsi="黑体" w:eastAsia="黑体"/>
          <w:b w:val="0"/>
        </w:rPr>
        <w:t>机构设置</w:t>
      </w:r>
    </w:p>
    <w:p>
      <w:pPr>
        <w:numPr>
          <w:ilvl w:val="0"/>
          <w:numId w:val="3"/>
        </w:numPr>
        <w:rPr>
          <w:rFonts w:ascii="仿宋" w:hAnsi="仿宋" w:eastAsia="仿宋" w:cs="仿宋"/>
          <w:kern w:val="0"/>
          <w:sz w:val="32"/>
          <w:szCs w:val="32"/>
        </w:rPr>
      </w:pPr>
      <w:r>
        <w:rPr>
          <w:rFonts w:hint="eastAsia" w:ascii="仿宋" w:hAnsi="仿宋" w:eastAsia="仿宋" w:cs="仿宋"/>
          <w:kern w:val="0"/>
          <w:sz w:val="32"/>
          <w:szCs w:val="32"/>
        </w:rPr>
        <w:t>本单位为攀枝花市教育和体育局所属2级预算单位。</w:t>
      </w:r>
    </w:p>
    <w:p>
      <w:pPr>
        <w:pStyle w:val="2"/>
        <w:numPr>
          <w:ilvl w:val="0"/>
          <w:numId w:val="3"/>
        </w:numPr>
        <w:spacing w:before="93"/>
        <w:rPr>
          <w:rStyle w:val="27"/>
          <w:rFonts w:ascii="仿宋" w:hAnsi="仿宋" w:eastAsia="仿宋" w:cs="仿宋"/>
          <w:b w:val="0"/>
          <w:sz w:val="32"/>
          <w:szCs w:val="32"/>
        </w:rPr>
      </w:pPr>
      <w:r>
        <w:rPr>
          <w:rFonts w:hint="eastAsia" w:ascii="仿宋" w:hAnsi="仿宋" w:eastAsia="仿宋" w:cs="仿宋"/>
          <w:sz w:val="32"/>
          <w:szCs w:val="32"/>
        </w:rPr>
        <w:t>截止年末共有在职教职工231人，其中编制内聘用人员8人，退休134人。在职教职工中高级讲师82人、各级各类骨干教师 43 人、全国优秀教师1人、黄炎培职业教育奖2人、攀枝花市名师1人、持有注册建筑师、高级会计师等执业资格的教师30人，企业工程技术人员、能工巧匠等兼职教师30人。</w:t>
      </w:r>
      <w:bookmarkEnd w:id="14"/>
      <w:bookmarkEnd w:id="15"/>
      <w:bookmarkStart w:id="16" w:name="_Toc15377204"/>
      <w:bookmarkStart w:id="17" w:name="_Toc15396602"/>
    </w:p>
    <w:p>
      <w:pPr>
        <w:pStyle w:val="2"/>
        <w:spacing w:before="93"/>
        <w:ind w:left="567"/>
        <w:rPr>
          <w:rStyle w:val="27"/>
          <w:rFonts w:ascii="黑体" w:hAnsi="黑体" w:eastAsia="黑体" w:cstheme="minorBidi"/>
          <w:b w:val="0"/>
        </w:rPr>
      </w:pPr>
    </w:p>
    <w:p>
      <w:pPr>
        <w:pStyle w:val="2"/>
        <w:spacing w:before="93"/>
        <w:ind w:left="567"/>
        <w:rPr>
          <w:rStyle w:val="27"/>
          <w:rFonts w:ascii="黑体" w:hAnsi="黑体" w:eastAsia="黑体"/>
          <w:b w:val="0"/>
        </w:rPr>
      </w:pPr>
      <w:r>
        <w:rPr>
          <w:rStyle w:val="27"/>
          <w:rFonts w:hint="eastAsia" w:ascii="黑体" w:hAnsi="黑体" w:eastAsia="黑体" w:cstheme="minorBidi"/>
          <w:b w:val="0"/>
        </w:rPr>
        <w:t>第二部分 2022年度</w:t>
      </w:r>
      <w:r>
        <w:rPr>
          <w:rStyle w:val="27"/>
          <w:rFonts w:hint="eastAsia" w:ascii="黑体" w:hAnsi="黑体" w:eastAsia="黑体"/>
          <w:b w:val="0"/>
        </w:rPr>
        <w:t>单位决算情况说明</w:t>
      </w:r>
      <w:bookmarkEnd w:id="16"/>
      <w:bookmarkEnd w:id="17"/>
    </w:p>
    <w:p/>
    <w:p>
      <w:pPr>
        <w:pStyle w:val="26"/>
        <w:numPr>
          <w:ilvl w:val="0"/>
          <w:numId w:val="4"/>
        </w:numPr>
        <w:spacing w:line="600" w:lineRule="exact"/>
        <w:ind w:firstLineChars="0"/>
        <w:outlineLvl w:val="1"/>
        <w:rPr>
          <w:rStyle w:val="28"/>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8"/>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2022年度收、支总计7895.56万元。与2021年相比，收、支总计各增加1089.52万元，增长16</w:t>
      </w:r>
      <w:r>
        <w:rPr>
          <w:rFonts w:ascii="仿宋" w:hAnsi="仿宋" w:eastAsia="仿宋"/>
          <w:sz w:val="32"/>
          <w:szCs w:val="32"/>
        </w:rPr>
        <w:t>%</w:t>
      </w:r>
      <w:r>
        <w:rPr>
          <w:rFonts w:hint="eastAsia" w:ascii="仿宋" w:hAnsi="仿宋" w:eastAsia="仿宋"/>
          <w:sz w:val="32"/>
          <w:szCs w:val="32"/>
        </w:rPr>
        <w:t>。主要变动原因是2022年度财政下达了2021年度已完成采购未支付的教学设备款等。</w:t>
      </w:r>
    </w:p>
    <w:p>
      <w:pPr>
        <w:spacing w:line="600" w:lineRule="exact"/>
        <w:ind w:firstLine="640" w:firstLineChars="200"/>
        <w:jc w:val="center"/>
        <w:rPr>
          <w:rFonts w:ascii="仿宋" w:hAnsi="仿宋" w:eastAsia="仿宋"/>
          <w:sz w:val="32"/>
          <w:szCs w:val="32"/>
        </w:rPr>
      </w:pP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_GB2312" w:eastAsia="仿宋_GB2312"/>
          <w:sz w:val="32"/>
          <w:szCs w:val="32"/>
        </w:rPr>
      </w:pPr>
      <w:r>
        <w:drawing>
          <wp:anchor distT="0" distB="0" distL="114300" distR="114300" simplePos="0" relativeHeight="251659264" behindDoc="0" locked="0" layoutInCell="1" allowOverlap="1">
            <wp:simplePos x="0" y="0"/>
            <wp:positionH relativeFrom="column">
              <wp:posOffset>304800</wp:posOffset>
            </wp:positionH>
            <wp:positionV relativeFrom="paragraph">
              <wp:posOffset>161925</wp:posOffset>
            </wp:positionV>
            <wp:extent cx="4572000" cy="2813050"/>
            <wp:effectExtent l="0" t="0" r="0" b="635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6"/>
        <w:numPr>
          <w:ilvl w:val="0"/>
          <w:numId w:val="4"/>
        </w:numPr>
        <w:spacing w:line="600" w:lineRule="exact"/>
        <w:ind w:firstLineChars="0"/>
        <w:outlineLvl w:val="1"/>
        <w:rPr>
          <w:rStyle w:val="28"/>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8"/>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22年本年收入合计7859.68万元，其中：一般公共预算财政拨款收入7763.54万元，占98.78</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；事业收入82.61万元，占1.05</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；其他收入13.53万元，占0.17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（图2：收入决算结构图）</w:t>
      </w:r>
    </w:p>
    <w:p>
      <w:pPr>
        <w:spacing w:line="600" w:lineRule="exact"/>
        <w:ind w:firstLine="420" w:firstLineChars="200"/>
        <w:rPr>
          <w:rFonts w:ascii="仿宋_GB2312" w:eastAsia="仿宋_GB2312"/>
          <w:sz w:val="32"/>
          <w:szCs w:val="32"/>
        </w:rPr>
      </w:pPr>
      <w:r>
        <w:drawing>
          <wp:anchor distT="0" distB="0" distL="114300" distR="114300" simplePos="0" relativeHeight="251660288" behindDoc="0" locked="0" layoutInCell="1" allowOverlap="1">
            <wp:simplePos x="0" y="0"/>
            <wp:positionH relativeFrom="column">
              <wp:posOffset>394970</wp:posOffset>
            </wp:positionH>
            <wp:positionV relativeFrom="paragraph">
              <wp:posOffset>71120</wp:posOffset>
            </wp:positionV>
            <wp:extent cx="4572000" cy="2813050"/>
            <wp:effectExtent l="6350" t="6350" r="12700" b="19050"/>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6"/>
        <w:numPr>
          <w:ilvl w:val="0"/>
          <w:numId w:val="4"/>
        </w:numPr>
        <w:spacing w:line="600" w:lineRule="exact"/>
        <w:ind w:firstLineChars="0"/>
        <w:outlineLvl w:val="1"/>
        <w:rPr>
          <w:rStyle w:val="28"/>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8"/>
          <w:rFonts w:hint="eastAsia" w:ascii="黑体" w:hAnsi="黑体" w:eastAsia="黑体"/>
          <w:b w:val="0"/>
        </w:rPr>
        <w:t>出决算情况说明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22年本年支出合计7791.9万元，其中：基本支出5533.82万元，占71.02</w:t>
      </w:r>
      <w:r>
        <w:rPr>
          <w:rFonts w:ascii="仿宋" w:hAnsi="仿宋" w:eastAsia="仿宋"/>
          <w:sz w:val="32"/>
          <w:szCs w:val="32"/>
        </w:rPr>
        <w:t>%</w:t>
      </w:r>
      <w:r>
        <w:rPr>
          <w:rFonts w:hint="eastAsia" w:ascii="仿宋" w:hAnsi="仿宋" w:eastAsia="仿宋"/>
          <w:sz w:val="32"/>
          <w:szCs w:val="32"/>
        </w:rPr>
        <w:t>；项目支出2258.08万元，占28.98</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jc w:val="center"/>
        <w:rPr>
          <w:rFonts w:ascii="仿宋_GB2312" w:eastAsia="仿宋_GB2312"/>
          <w:sz w:val="32"/>
          <w:szCs w:val="32"/>
        </w:rPr>
      </w:pPr>
      <w:r>
        <w:drawing>
          <wp:anchor distT="0" distB="0" distL="114300" distR="114300" simplePos="0" relativeHeight="251661312" behindDoc="0" locked="0" layoutInCell="1" allowOverlap="1">
            <wp:simplePos x="0" y="0"/>
            <wp:positionH relativeFrom="column">
              <wp:posOffset>261620</wp:posOffset>
            </wp:positionH>
            <wp:positionV relativeFrom="paragraph">
              <wp:posOffset>446405</wp:posOffset>
            </wp:positionV>
            <wp:extent cx="4572000" cy="2813050"/>
            <wp:effectExtent l="4445" t="4445" r="14605" b="2095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sz w:val="32"/>
          <w:szCs w:val="32"/>
        </w:rPr>
        <w:t>（图3：支出决算结构图）</w:t>
      </w:r>
    </w:p>
    <w:p>
      <w:pPr>
        <w:spacing w:line="600" w:lineRule="exact"/>
        <w:ind w:firstLine="640" w:firstLineChars="200"/>
        <w:outlineLvl w:val="1"/>
        <w:rPr>
          <w:rFonts w:ascii="黑体" w:hAnsi="黑体" w:eastAsia="黑体"/>
          <w:sz w:val="32"/>
          <w:szCs w:val="32"/>
        </w:rPr>
      </w:pPr>
      <w:bookmarkStart w:id="24" w:name="_Toc15377208"/>
      <w:bookmarkStart w:id="25" w:name="_Toc15396606"/>
    </w:p>
    <w:p>
      <w:pPr>
        <w:spacing w:line="600" w:lineRule="exact"/>
        <w:ind w:firstLine="640" w:firstLineChars="200"/>
        <w:outlineLvl w:val="1"/>
        <w:rPr>
          <w:rStyle w:val="28"/>
          <w:rFonts w:ascii="黑体" w:hAnsi="黑体" w:eastAsia="黑体"/>
          <w:b w:val="0"/>
        </w:rPr>
      </w:pPr>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22年财政拨款收、支总计7791.9万元。与</w:t>
      </w:r>
      <w:r>
        <w:rPr>
          <w:rFonts w:ascii="仿宋" w:hAnsi="仿宋" w:eastAsia="仿宋"/>
          <w:sz w:val="32"/>
          <w:szCs w:val="32"/>
        </w:rPr>
        <w:t>20</w:t>
      </w:r>
      <w:r>
        <w:rPr>
          <w:rFonts w:hint="eastAsia" w:ascii="仿宋" w:hAnsi="仿宋" w:eastAsia="仿宋"/>
          <w:sz w:val="32"/>
          <w:szCs w:val="32"/>
        </w:rPr>
        <w:t>21年相比，财政拨款收、支总计各增加1104.89万元，增长16.52</w:t>
      </w:r>
      <w:r>
        <w:rPr>
          <w:rFonts w:ascii="仿宋" w:hAnsi="仿宋" w:eastAsia="仿宋"/>
          <w:sz w:val="32"/>
          <w:szCs w:val="32"/>
        </w:rPr>
        <w:t>%</w:t>
      </w:r>
      <w:r>
        <w:rPr>
          <w:rFonts w:hint="eastAsia" w:ascii="仿宋" w:hAnsi="仿宋" w:eastAsia="仿宋"/>
          <w:sz w:val="32"/>
          <w:szCs w:val="32"/>
        </w:rPr>
        <w:t>。主要变动原因是2022年度财政下达了2021年度已完成采购未支付的教学设备款及人员薪资调整等。</w:t>
      </w: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458470</wp:posOffset>
            </wp:positionH>
            <wp:positionV relativeFrom="paragraph">
              <wp:posOffset>474345</wp:posOffset>
            </wp:positionV>
            <wp:extent cx="4572000" cy="2813050"/>
            <wp:effectExtent l="4445" t="4445" r="14605" b="2095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sz w:val="32"/>
          <w:szCs w:val="32"/>
        </w:rPr>
        <w:t>（图4：财政拨款收、支决算总计变动情况）</w:t>
      </w:r>
    </w:p>
    <w:p>
      <w:pPr>
        <w:spacing w:line="600" w:lineRule="exact"/>
        <w:ind w:firstLine="640"/>
        <w:rPr>
          <w:rFonts w:ascii="仿宋" w:hAnsi="仿宋" w:eastAsia="仿宋"/>
          <w:b/>
          <w:sz w:val="32"/>
          <w:szCs w:val="32"/>
        </w:rPr>
      </w:pPr>
    </w:p>
    <w:p>
      <w:pPr>
        <w:spacing w:line="600" w:lineRule="exact"/>
        <w:ind w:firstLine="640" w:firstLineChars="200"/>
        <w:outlineLvl w:val="1"/>
        <w:rPr>
          <w:rStyle w:val="28"/>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22年一般公共预算财政拨款支出7791.9万元，占本年支出合计的100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21年相比，一般公共预算财政拨款支出增加1104.89万元，增长16.52</w:t>
      </w:r>
      <w:r>
        <w:rPr>
          <w:rFonts w:ascii="仿宋" w:hAnsi="仿宋" w:eastAsia="仿宋"/>
          <w:sz w:val="32"/>
          <w:szCs w:val="32"/>
        </w:rPr>
        <w:t>%</w:t>
      </w:r>
      <w:r>
        <w:rPr>
          <w:rFonts w:hint="eastAsia" w:ascii="仿宋" w:hAnsi="仿宋" w:eastAsia="仿宋"/>
          <w:sz w:val="32"/>
          <w:szCs w:val="32"/>
        </w:rPr>
        <w:t>。主要变动原因是2022年度财政下达了2021年度已完成采购未支付的教学设备款及人员薪资调整等。</w:t>
      </w:r>
    </w:p>
    <w:p>
      <w:pPr>
        <w:spacing w:line="600" w:lineRule="exact"/>
        <w:ind w:firstLine="643" w:firstLineChars="200"/>
        <w:outlineLvl w:val="2"/>
        <w:rPr>
          <w:rFonts w:ascii="仿宋" w:hAnsi="仿宋" w:eastAsia="仿宋"/>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rPr>
          <w:rFonts w:ascii="仿宋" w:hAnsi="仿宋" w:eastAsia="仿宋"/>
          <w:b/>
          <w:sz w:val="32"/>
          <w:szCs w:val="32"/>
        </w:rPr>
      </w:pPr>
      <w:r>
        <w:drawing>
          <wp:anchor distT="0" distB="0" distL="114300" distR="114300" simplePos="0" relativeHeight="251663360" behindDoc="0" locked="0" layoutInCell="1" allowOverlap="1">
            <wp:simplePos x="0" y="0"/>
            <wp:positionH relativeFrom="column">
              <wp:posOffset>394970</wp:posOffset>
            </wp:positionH>
            <wp:positionV relativeFrom="paragraph">
              <wp:posOffset>166370</wp:posOffset>
            </wp:positionV>
            <wp:extent cx="4572000" cy="2800350"/>
            <wp:effectExtent l="4445" t="4445" r="14605" b="1460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 w:hAnsi="仿宋" w:eastAsia="仿宋"/>
          <w:sz w:val="32"/>
          <w:szCs w:val="32"/>
        </w:rPr>
        <w:t>20</w:t>
      </w:r>
      <w:r>
        <w:rPr>
          <w:rFonts w:hint="eastAsia" w:ascii="仿宋" w:hAnsi="仿宋" w:eastAsia="仿宋"/>
          <w:sz w:val="32"/>
          <w:szCs w:val="32"/>
        </w:rPr>
        <w:t>22年一般公共预算财政拨款支出7791.9万元，主要用于以下方面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6758.2万元，占86.73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支出612.66</w:t>
      </w:r>
      <w:r>
        <w:rPr>
          <w:rFonts w:hint="eastAsia" w:ascii="仿宋" w:hAnsi="仿宋" w:eastAsia="仿宋"/>
          <w:sz w:val="32"/>
          <w:szCs w:val="32"/>
        </w:rPr>
        <w:t>万元，占7.86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421.03万元，占5.4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420" w:firstLineChars="200"/>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309245</wp:posOffset>
            </wp:positionH>
            <wp:positionV relativeFrom="paragraph">
              <wp:posOffset>385445</wp:posOffset>
            </wp:positionV>
            <wp:extent cx="4572000" cy="2743200"/>
            <wp:effectExtent l="4445" t="4445" r="14605" b="14605"/>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sz w:val="32"/>
          <w:szCs w:val="32"/>
        </w:rPr>
        <w:t>（图6：一般公共预算财政拨款支出决算结构）</w:t>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2022年一般公共预算支出决算数为7791.9万元</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1</w:t>
      </w:r>
      <w:r>
        <w:rPr>
          <w:rStyle w:val="16"/>
          <w:rFonts w:ascii="仿宋" w:hAnsi="仿宋" w:eastAsia="仿宋"/>
          <w:bCs/>
          <w:sz w:val="32"/>
          <w:szCs w:val="32"/>
        </w:rPr>
        <w:t>.</w:t>
      </w:r>
      <w:r>
        <w:rPr>
          <w:rStyle w:val="16"/>
          <w:rFonts w:hint="eastAsia" w:ascii="仿宋" w:hAnsi="仿宋" w:eastAsia="仿宋"/>
          <w:bCs/>
          <w:sz w:val="32"/>
          <w:szCs w:val="32"/>
        </w:rPr>
        <w:t>教育</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（类）职业教育（款）中等职业教育（项）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Fonts w:hint="eastAsia" w:ascii="仿宋" w:hAnsi="仿宋" w:eastAsia="仿宋"/>
          <w:sz w:val="32"/>
          <w:szCs w:val="32"/>
        </w:rPr>
        <w:t>6708.3</w:t>
      </w:r>
      <w:r>
        <w:rPr>
          <w:rStyle w:val="16"/>
          <w:rFonts w:hint="eastAsia" w:ascii="仿宋" w:hAnsi="仿宋" w:eastAsia="仿宋"/>
          <w:b w:val="0"/>
          <w:bCs/>
          <w:sz w:val="32"/>
          <w:szCs w:val="32"/>
        </w:rPr>
        <w:t>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2</w:t>
      </w:r>
      <w:r>
        <w:rPr>
          <w:rStyle w:val="16"/>
          <w:rFonts w:ascii="仿宋" w:hAnsi="仿宋" w:eastAsia="仿宋"/>
          <w:bCs/>
          <w:sz w:val="32"/>
          <w:szCs w:val="32"/>
        </w:rPr>
        <w:t>.</w:t>
      </w:r>
      <w:r>
        <w:rPr>
          <w:rStyle w:val="16"/>
          <w:rFonts w:hint="eastAsia" w:ascii="仿宋" w:hAnsi="仿宋" w:eastAsia="仿宋"/>
          <w:bCs/>
          <w:sz w:val="32"/>
          <w:szCs w:val="32"/>
        </w:rPr>
        <w:t>教育</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（类）教育费附加安排的支出（款）其他教育费附加安排的支出（项）</w:t>
      </w:r>
      <w:r>
        <w:rPr>
          <w:rStyle w:val="16"/>
          <w:rFonts w:ascii="仿宋" w:hAnsi="仿宋" w:eastAsia="仿宋"/>
          <w:bCs/>
          <w:sz w:val="32"/>
          <w:szCs w:val="32"/>
        </w:rPr>
        <w:t>:</w:t>
      </w:r>
      <w:r>
        <w:rPr>
          <w:rStyle w:val="16"/>
          <w:rFonts w:hint="eastAsia" w:ascii="仿宋" w:hAnsi="仿宋" w:eastAsia="仿宋"/>
          <w:b w:val="0"/>
          <w:bCs/>
          <w:sz w:val="32"/>
          <w:szCs w:val="32"/>
        </w:rPr>
        <w:t>支出决算为49.9万元，完成预算100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3</w:t>
      </w:r>
      <w:r>
        <w:rPr>
          <w:rStyle w:val="16"/>
          <w:rFonts w:ascii="仿宋" w:hAnsi="仿宋" w:eastAsia="仿宋"/>
          <w:bCs/>
          <w:sz w:val="32"/>
          <w:szCs w:val="32"/>
        </w:rPr>
        <w:t>.</w:t>
      </w:r>
      <w:r>
        <w:rPr>
          <w:rStyle w:val="16"/>
          <w:rFonts w:hint="eastAsia" w:ascii="仿宋" w:hAnsi="仿宋" w:eastAsia="仿宋"/>
          <w:bCs/>
          <w:sz w:val="32"/>
          <w:szCs w:val="32"/>
        </w:rPr>
        <w:t>社会保障和就业</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（类）行政事业单位养老支出（款）机关事业单位基本养老保险缴费支出（项）</w:t>
      </w:r>
      <w:r>
        <w:rPr>
          <w:rStyle w:val="16"/>
          <w:rFonts w:ascii="仿宋" w:hAnsi="仿宋" w:eastAsia="仿宋"/>
          <w:bCs/>
          <w:sz w:val="32"/>
          <w:szCs w:val="32"/>
        </w:rPr>
        <w:t>:</w:t>
      </w:r>
      <w:r>
        <w:rPr>
          <w:rStyle w:val="16"/>
          <w:rFonts w:hint="eastAsia" w:ascii="仿宋" w:hAnsi="仿宋" w:eastAsia="仿宋"/>
          <w:b w:val="0"/>
          <w:bCs/>
          <w:sz w:val="32"/>
          <w:szCs w:val="32"/>
        </w:rPr>
        <w:t>支出决算为406.2万元，完成预算100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sz w:val="32"/>
          <w:szCs w:val="32"/>
        </w:rPr>
        <w:t>社会保障和就业</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（类）行政事业单位养老支出（款）事业单位离退休（项）</w:t>
      </w:r>
      <w:r>
        <w:rPr>
          <w:rStyle w:val="16"/>
          <w:rFonts w:ascii="仿宋" w:hAnsi="仿宋" w:eastAsia="仿宋"/>
          <w:bCs/>
          <w:sz w:val="32"/>
          <w:szCs w:val="32"/>
        </w:rPr>
        <w:t>:</w:t>
      </w:r>
      <w:r>
        <w:rPr>
          <w:rStyle w:val="16"/>
          <w:rFonts w:hint="eastAsia" w:ascii="仿宋" w:hAnsi="仿宋" w:eastAsia="仿宋"/>
          <w:b w:val="0"/>
          <w:bCs/>
          <w:sz w:val="32"/>
          <w:szCs w:val="32"/>
        </w:rPr>
        <w:t>支出决算为182.71万元，完成预算100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5</w:t>
      </w:r>
      <w:r>
        <w:rPr>
          <w:rStyle w:val="16"/>
          <w:rFonts w:ascii="仿宋" w:hAnsi="仿宋" w:eastAsia="仿宋"/>
          <w:bCs/>
          <w:sz w:val="32"/>
          <w:szCs w:val="32"/>
        </w:rPr>
        <w:t>.</w:t>
      </w:r>
      <w:r>
        <w:rPr>
          <w:rStyle w:val="16"/>
          <w:rFonts w:hint="eastAsia" w:ascii="仿宋" w:hAnsi="仿宋" w:eastAsia="仿宋"/>
          <w:bCs/>
          <w:sz w:val="32"/>
          <w:szCs w:val="32"/>
        </w:rPr>
        <w:t>社会保障和就业</w:t>
      </w:r>
      <w:r>
        <w:rPr>
          <w:rStyle w:val="16"/>
          <w:rFonts w:hint="eastAsia" w:ascii="仿宋" w:hAnsi="仿宋" w:eastAsia="仿宋"/>
          <w:bCs/>
          <w:sz w:val="32"/>
          <w:szCs w:val="32"/>
          <w:lang w:eastAsia="zh-CN"/>
        </w:rPr>
        <w:t>支出</w:t>
      </w:r>
      <w:r>
        <w:rPr>
          <w:rStyle w:val="16"/>
          <w:rFonts w:hint="eastAsia" w:ascii="仿宋" w:hAnsi="仿宋" w:eastAsia="仿宋"/>
          <w:bCs/>
          <w:sz w:val="32"/>
          <w:szCs w:val="32"/>
        </w:rPr>
        <w:t>（类）抚恤（款）死亡抚恤（项）</w:t>
      </w:r>
      <w:r>
        <w:rPr>
          <w:rStyle w:val="16"/>
          <w:rFonts w:ascii="仿宋" w:hAnsi="仿宋" w:eastAsia="仿宋"/>
          <w:bCs/>
          <w:sz w:val="32"/>
          <w:szCs w:val="32"/>
        </w:rPr>
        <w:t>:</w:t>
      </w:r>
      <w:r>
        <w:rPr>
          <w:rStyle w:val="16"/>
          <w:rFonts w:hint="eastAsia" w:ascii="仿宋" w:hAnsi="仿宋" w:eastAsia="仿宋"/>
          <w:b w:val="0"/>
          <w:bCs/>
          <w:sz w:val="32"/>
          <w:szCs w:val="32"/>
        </w:rPr>
        <w:t>支出决算为23.75万元，完成预算100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pStyle w:val="2"/>
        <w:spacing w:before="93"/>
        <w:ind w:firstLine="630" w:firstLineChars="196"/>
      </w:pPr>
      <w:r>
        <w:rPr>
          <w:rStyle w:val="16"/>
          <w:rFonts w:hint="eastAsia" w:ascii="仿宋" w:hAnsi="仿宋" w:eastAsia="仿宋"/>
          <w:bCs/>
          <w:sz w:val="32"/>
          <w:szCs w:val="32"/>
        </w:rPr>
        <w:t>6.住房保障支出（类）住房改革支出（款）住房公积金（项）</w:t>
      </w:r>
      <w:r>
        <w:rPr>
          <w:rStyle w:val="16"/>
          <w:rFonts w:ascii="仿宋" w:hAnsi="仿宋" w:eastAsia="仿宋"/>
          <w:bCs/>
          <w:sz w:val="32"/>
          <w:szCs w:val="32"/>
        </w:rPr>
        <w:t>:</w:t>
      </w:r>
      <w:r>
        <w:rPr>
          <w:rStyle w:val="16"/>
          <w:rFonts w:hint="eastAsia" w:ascii="仿宋" w:hAnsi="仿宋" w:eastAsia="仿宋"/>
          <w:b w:val="0"/>
          <w:bCs/>
          <w:sz w:val="32"/>
          <w:szCs w:val="32"/>
        </w:rPr>
        <w:t>支出决算为421.03万元，完成预算100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，与预算数持平。</w:t>
      </w:r>
    </w:p>
    <w:p>
      <w:pPr>
        <w:tabs>
          <w:tab w:val="right" w:pos="8306"/>
        </w:tabs>
        <w:spacing w:line="600" w:lineRule="exact"/>
        <w:ind w:firstLine="640"/>
        <w:outlineLvl w:val="1"/>
        <w:rPr>
          <w:rStyle w:val="28"/>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34"/>
      <w:bookmarkEnd w:id="35"/>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22年一般公共预算财政拨款基本支出5533.82万元，其中：</w:t>
      </w:r>
    </w:p>
    <w:p>
      <w:pPr>
        <w:spacing w:line="600" w:lineRule="exact"/>
        <w:ind w:firstLine="645"/>
      </w:pPr>
      <w:r>
        <w:rPr>
          <w:rFonts w:hint="eastAsia" w:ascii="仿宋" w:hAnsi="仿宋" w:eastAsia="仿宋"/>
          <w:sz w:val="32"/>
          <w:szCs w:val="32"/>
        </w:rPr>
        <w:t>人员经费5201.93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331.89万元，主要包括：办公费、印刷费、咨询费、手续费、水费、电费、邮电费、取暖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36" w:name="_Toc15377215"/>
      <w:bookmarkStart w:id="37"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22年“三公”经费财政拨款支出决算为4.03万元，完成预算99.75</w:t>
      </w:r>
      <w:r>
        <w:rPr>
          <w:rFonts w:ascii="仿宋" w:hAnsi="仿宋" w:eastAsia="仿宋"/>
          <w:sz w:val="32"/>
          <w:szCs w:val="32"/>
        </w:rPr>
        <w:t>%</w:t>
      </w:r>
      <w:r>
        <w:rPr>
          <w:rFonts w:hint="eastAsia" w:ascii="仿宋" w:hAnsi="仿宋" w:eastAsia="仿宋"/>
          <w:sz w:val="32"/>
          <w:szCs w:val="32"/>
        </w:rPr>
        <w:t>，较上年增加0.1万元，增长2.5%。决算数小于预算数的主要原因是严格控制2022年度公务接待。</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；公务用车购置及运行维护费支出决算3.24万元，占80.4</w:t>
      </w:r>
      <w:r>
        <w:rPr>
          <w:rFonts w:ascii="仿宋" w:hAnsi="仿宋" w:eastAsia="仿宋"/>
          <w:sz w:val="32"/>
          <w:szCs w:val="32"/>
        </w:rPr>
        <w:t>%</w:t>
      </w:r>
      <w:r>
        <w:rPr>
          <w:rFonts w:hint="eastAsia" w:ascii="仿宋" w:hAnsi="仿宋" w:eastAsia="仿宋"/>
          <w:sz w:val="32"/>
          <w:szCs w:val="32"/>
        </w:rPr>
        <w:t>；公务接待费支出决算0.79万元，占19.6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jc w:val="center"/>
      </w:pPr>
      <w:r>
        <w:drawing>
          <wp:anchor distT="0" distB="0" distL="114300" distR="114300" simplePos="0" relativeHeight="251665408" behindDoc="0" locked="0" layoutInCell="1" allowOverlap="1">
            <wp:simplePos x="0" y="0"/>
            <wp:positionH relativeFrom="column">
              <wp:posOffset>328295</wp:posOffset>
            </wp:positionH>
            <wp:positionV relativeFrom="paragraph">
              <wp:posOffset>441325</wp:posOffset>
            </wp:positionV>
            <wp:extent cx="4572000" cy="2743200"/>
            <wp:effectExtent l="4445" t="4445" r="14605" b="14605"/>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3.24万元,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21年增加0.31万元，增长10.58</w:t>
      </w:r>
      <w:r>
        <w:rPr>
          <w:rFonts w:ascii="仿宋_GB2312" w:eastAsia="仿宋_GB2312"/>
          <w:sz w:val="32"/>
          <w:szCs w:val="32"/>
        </w:rPr>
        <w:t>%</w:t>
      </w:r>
      <w:r>
        <w:rPr>
          <w:rFonts w:hint="eastAsia" w:ascii="仿宋_GB2312" w:eastAsia="仿宋_GB2312"/>
          <w:sz w:val="32"/>
          <w:szCs w:val="32"/>
        </w:rPr>
        <w:t>。主要原因是2021年公务车维修款未及时报账，在2022年进行了支付。</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0万元。全年按规定更新购置公务用车0辆，其中：轿车0辆、金额0万元，越野车0辆、金额0万元，载客汽车0辆、金额0万元，主要用于0。截至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月底，单位共有公务用车2辆，其中：轿车1辆、越野车0辆、载客汽车1辆。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3.24万元。主要用于木里藏区及攀枝花市周边地区招生宣传，扶贫慰问，学生回访等所需的公务用车燃料费、维修费、过路过桥费、保险费等支出。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0.79万元，</w:t>
      </w:r>
      <w:r>
        <w:rPr>
          <w:rStyle w:val="16"/>
          <w:rFonts w:hint="eastAsia" w:ascii="仿宋" w:hAnsi="仿宋" w:eastAsia="仿宋"/>
          <w:b w:val="0"/>
          <w:bCs/>
          <w:sz w:val="32"/>
          <w:szCs w:val="32"/>
        </w:rPr>
        <w:t>完成预算98.75</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21年减少0.2万元，下降21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加强管理，严格控制了支出</w:t>
      </w:r>
      <w:r>
        <w:rPr>
          <w:rFonts w:hint="eastAsia" w:ascii="仿宋_GB2312" w:eastAsia="仿宋_GB2312"/>
          <w:sz w:val="32"/>
          <w:szCs w:val="32"/>
        </w:rPr>
        <w:t>。</w:t>
      </w:r>
      <w:bookmarkStart w:id="66" w:name="_GoBack"/>
      <w:bookmarkEnd w:id="66"/>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0.79</w:t>
      </w:r>
      <w:r>
        <w:rPr>
          <w:rFonts w:hint="eastAsia" w:ascii="仿宋_GB2312" w:eastAsia="仿宋_GB2312"/>
          <w:sz w:val="32"/>
          <w:szCs w:val="32"/>
        </w:rPr>
        <w:t>万元，主要用于接待人才培养考察交流人员及相关资质提升认证工作人员的用餐费。国内公务接待5批次，46人次（不包括陪同人员），共计支出0.79万元，具体内容包括：</w:t>
      </w:r>
      <w:r>
        <w:rPr>
          <w:rFonts w:hint="eastAsia" w:ascii="仿宋_GB2312" w:eastAsia="仿宋_GB2312"/>
          <w:b/>
          <w:bCs/>
          <w:sz w:val="32"/>
          <w:szCs w:val="32"/>
        </w:rPr>
        <w:t>1</w:t>
      </w:r>
      <w:r>
        <w:rPr>
          <w:rFonts w:hint="eastAsia" w:ascii="仿宋_GB2312" w:eastAsia="仿宋_GB2312"/>
          <w:sz w:val="32"/>
          <w:szCs w:val="32"/>
        </w:rPr>
        <w:t>.接待四川省人社厅开展促就业、助力乡村振兴考察学习活动23人，费用0.3万元；</w:t>
      </w:r>
      <w:r>
        <w:rPr>
          <w:rFonts w:hint="eastAsia" w:ascii="仿宋_GB2312" w:eastAsia="仿宋_GB2312"/>
          <w:b/>
          <w:bCs/>
          <w:sz w:val="32"/>
          <w:szCs w:val="32"/>
        </w:rPr>
        <w:t>2</w:t>
      </w:r>
      <w:r>
        <w:rPr>
          <w:rFonts w:hint="eastAsia" w:ascii="仿宋_GB2312" w:eastAsia="仿宋_GB2312"/>
          <w:sz w:val="32"/>
          <w:szCs w:val="32"/>
        </w:rPr>
        <w:t>.接待四川一砖一瓦教育咨询有限公司、北京数码大方科技有限公司到校开展实训基地1+X工程造价数字化应用等级认证指导与研讨9人，费用0.12万元；</w:t>
      </w:r>
      <w:r>
        <w:rPr>
          <w:rFonts w:hint="eastAsia" w:ascii="仿宋_GB2312" w:eastAsia="仿宋_GB2312"/>
          <w:b/>
          <w:bCs/>
          <w:sz w:val="32"/>
          <w:szCs w:val="32"/>
        </w:rPr>
        <w:t>3</w:t>
      </w:r>
      <w:r>
        <w:rPr>
          <w:rFonts w:hint="eastAsia" w:ascii="仿宋_GB2312" w:eastAsia="仿宋_GB2312"/>
          <w:sz w:val="32"/>
          <w:szCs w:val="32"/>
        </w:rPr>
        <w:t>.接待内江职业技术学院到校开展中高职衔接人才培养交流6人，费用0.15万元；</w:t>
      </w:r>
      <w:r>
        <w:rPr>
          <w:rFonts w:hint="eastAsia" w:ascii="仿宋_GB2312" w:eastAsia="仿宋_GB2312"/>
          <w:b/>
          <w:bCs/>
          <w:sz w:val="32"/>
          <w:szCs w:val="32"/>
        </w:rPr>
        <w:t>4</w:t>
      </w:r>
      <w:r>
        <w:rPr>
          <w:rFonts w:hint="eastAsia" w:ascii="仿宋_GB2312" w:eastAsia="仿宋_GB2312"/>
          <w:sz w:val="32"/>
          <w:szCs w:val="32"/>
        </w:rPr>
        <w:t>.接待成都信息工程大学教师到校进行省级专项资金支出绩效评价4人，费用0.1万元；</w:t>
      </w:r>
      <w:r>
        <w:rPr>
          <w:rFonts w:hint="eastAsia" w:ascii="仿宋_GB2312" w:eastAsia="仿宋_GB2312"/>
          <w:b/>
          <w:bCs/>
          <w:sz w:val="32"/>
          <w:szCs w:val="32"/>
        </w:rPr>
        <w:t>5</w:t>
      </w:r>
      <w:r>
        <w:rPr>
          <w:rFonts w:hint="eastAsia" w:ascii="仿宋_GB2312" w:eastAsia="仿宋_GB2312"/>
          <w:sz w:val="32"/>
          <w:szCs w:val="32"/>
        </w:rPr>
        <w:t>.接待凉山州农业学校到校洽谈校校合作事宜5人，费用0.12万元。</w:t>
      </w:r>
    </w:p>
    <w:p>
      <w:pPr>
        <w:spacing w:line="600" w:lineRule="exact"/>
        <w:ind w:firstLine="643" w:firstLineChars="200"/>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bookmarkStart w:id="40" w:name="_Toc15377218"/>
      <w:bookmarkStart w:id="41" w:name="_Toc15396610"/>
    </w:p>
    <w:p>
      <w:pPr>
        <w:spacing w:line="600" w:lineRule="exact"/>
        <w:ind w:firstLine="64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5"/>
        </w:numPr>
        <w:spacing w:line="600" w:lineRule="exact"/>
        <w:ind w:firstLine="640"/>
        <w:outlineLvl w:val="1"/>
        <w:rPr>
          <w:rStyle w:val="28"/>
          <w:rFonts w:ascii="黑体" w:hAnsi="黑体" w:eastAsia="黑体"/>
          <w:b w:val="0"/>
        </w:rPr>
      </w:pPr>
      <w:bookmarkStart w:id="42" w:name="_Toc15377219"/>
      <w:bookmarkStart w:id="43" w:name="_Toc15396611"/>
      <w:r>
        <w:rPr>
          <w:rStyle w:val="28"/>
          <w:rFonts w:hint="eastAsia" w:ascii="黑体" w:hAnsi="黑体" w:eastAsia="黑体"/>
          <w:b w:val="0"/>
        </w:rPr>
        <w:t>国有资本经营预算支出决算情况说明</w:t>
      </w:r>
      <w:bookmarkEnd w:id="42"/>
      <w:bookmarkEnd w:id="43"/>
    </w:p>
    <w:p>
      <w:pPr>
        <w:spacing w:line="600" w:lineRule="exact"/>
        <w:ind w:firstLine="640"/>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5"/>
        </w:numPr>
        <w:spacing w:line="600" w:lineRule="exact"/>
        <w:ind w:firstLine="640"/>
        <w:outlineLvl w:val="1"/>
        <w:rPr>
          <w:rStyle w:val="28"/>
          <w:rFonts w:ascii="黑体" w:hAnsi="黑体" w:eastAsia="黑体"/>
          <w:b w:val="0"/>
        </w:rPr>
      </w:pPr>
      <w:bookmarkStart w:id="44" w:name="_Toc15377221"/>
      <w:bookmarkStart w:id="45" w:name="_Toc15396612"/>
      <w:r>
        <w:rPr>
          <w:rStyle w:val="28"/>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22年度本单位机关运行经费为0万元。</w:t>
      </w:r>
    </w:p>
    <w:p>
      <w:pPr>
        <w:numPr>
          <w:ilvl w:val="0"/>
          <w:numId w:val="6"/>
        </w:numPr>
        <w:autoSpaceDE w:val="0"/>
        <w:autoSpaceDN w:val="0"/>
        <w:adjustRightInd w:val="0"/>
        <w:spacing w:line="600" w:lineRule="exact"/>
        <w:ind w:firstLine="643" w:firstLineChars="200"/>
        <w:jc w:val="left"/>
        <w:outlineLvl w:val="2"/>
        <w:rPr>
          <w:rFonts w:hint="eastAsia" w:ascii="仿宋" w:hAnsi="仿宋" w:eastAsia="仿宋"/>
          <w:b/>
          <w:sz w:val="32"/>
          <w:szCs w:val="32"/>
        </w:rPr>
      </w:pPr>
      <w:bookmarkStart w:id="47" w:name="_Toc15377223"/>
      <w:r>
        <w:rPr>
          <w:rFonts w:hint="eastAsia" w:ascii="仿宋" w:hAnsi="仿宋" w:eastAsia="仿宋"/>
          <w:b/>
          <w:sz w:val="32"/>
          <w:szCs w:val="32"/>
        </w:rPr>
        <w:t>政府采购支出情况</w:t>
      </w:r>
      <w:bookmarkEnd w:id="47"/>
    </w:p>
    <w:p>
      <w:pPr>
        <w:pStyle w:val="2"/>
        <w:widowControl w:val="0"/>
        <w:numPr>
          <w:ilvl w:val="0"/>
          <w:numId w:val="0"/>
        </w:numPr>
        <w:spacing w:beforeLines="30"/>
        <w:jc w:val="both"/>
      </w:pPr>
    </w:p>
    <w:p>
      <w:pPr>
        <w:spacing w:line="600" w:lineRule="exact"/>
        <w:ind w:firstLine="640" w:firstLineChars="200"/>
        <w:rPr>
          <w:sz w:val="32"/>
          <w:szCs w:val="32"/>
        </w:rPr>
      </w:pPr>
      <w:r>
        <w:rPr>
          <w:rFonts w:ascii="仿宋_GB2312" w:eastAsia="仿宋_GB2312"/>
          <w:sz w:val="32"/>
          <w:szCs w:val="32"/>
        </w:rPr>
        <w:t>20</w:t>
      </w:r>
      <w:r>
        <w:rPr>
          <w:rFonts w:hint="eastAsia" w:ascii="仿宋_GB2312" w:eastAsia="仿宋_GB2312"/>
          <w:sz w:val="32"/>
          <w:szCs w:val="32"/>
        </w:rPr>
        <w:t>22年，攀枝花市建筑工程学校当年政府采购支出总额980.81万元，其中：政府采购货物支出121.4万元、政府采购工程支出394.92万元、政府采购服务支出464.49万元。主要用于教学设施设备采购、学生宿舍水电改造、维修改造足球场款项、新教学实训楼建设等。授予中小企业合同金额1216.32万元，占政府采购支出总额的124</w:t>
      </w:r>
      <w:r>
        <w:rPr>
          <w:rFonts w:ascii="仿宋_GB2312" w:eastAsia="仿宋_GB2312"/>
          <w:sz w:val="32"/>
          <w:szCs w:val="32"/>
        </w:rPr>
        <w:t>%</w:t>
      </w:r>
      <w:r>
        <w:rPr>
          <w:rFonts w:hint="eastAsia" w:ascii="仿宋_GB2312" w:eastAsia="仿宋_GB2312"/>
          <w:sz w:val="32"/>
          <w:szCs w:val="32"/>
        </w:rPr>
        <w:t>，其中：授予小微企业合同金额1216.32万元，占政府采购支出总额的124</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日，建筑工程学校共有车辆20辆，其中：主要领导干部用车0辆、机要通信用车0辆、应急保障用车0辆、其他用车20辆，其他用车主要是用于驾驶训练教学用。单价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根据预算绩效管理要求，本单位在2022年度预算编制阶段，组织对2020年教育现代化推进工程第一批中央预算内基建投资等</w:t>
      </w:r>
      <w:r>
        <w:rPr>
          <w:rFonts w:hint="eastAsia" w:hAnsi="仿宋_GB2312" w:cs="仿宋_GB2312"/>
          <w:sz w:val="32"/>
          <w:szCs w:val="32"/>
          <w:lang w:val="en-US" w:eastAsia="zh-CN"/>
        </w:rPr>
        <w:t>29</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29</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29</w:t>
      </w:r>
      <w:r>
        <w:rPr>
          <w:rFonts w:hint="eastAsia" w:hAnsi="仿宋_GB2312" w:cs="仿宋_GB2312"/>
          <w:sz w:val="32"/>
          <w:szCs w:val="32"/>
        </w:rPr>
        <w:t>个项目开展绩效监控，组织对</w:t>
      </w:r>
      <w:r>
        <w:rPr>
          <w:rFonts w:hint="eastAsia" w:hAnsi="仿宋_GB2312" w:cs="仿宋_GB2312"/>
          <w:sz w:val="32"/>
          <w:szCs w:val="32"/>
          <w:lang w:val="en-US" w:eastAsia="zh-CN"/>
        </w:rPr>
        <w:t>29</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p>
    <w:p>
      <w:pPr>
        <w:pStyle w:val="2"/>
        <w:spacing w:before="93"/>
      </w:pPr>
    </w:p>
    <w:p>
      <w:pPr>
        <w:numPr>
          <w:ilvl w:val="0"/>
          <w:numId w:val="7"/>
        </w:numPr>
        <w:spacing w:line="600" w:lineRule="exact"/>
        <w:ind w:firstLine="660" w:firstLineChars="150"/>
        <w:jc w:val="center"/>
        <w:outlineLvl w:val="0"/>
        <w:rPr>
          <w:rStyle w:val="27"/>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7"/>
          <w:rFonts w:hint="eastAsia" w:ascii="黑体" w:hAnsi="黑体" w:eastAsia="黑体"/>
          <w:b w:val="0"/>
        </w:rPr>
        <w:t>词解释</w:t>
      </w:r>
      <w:bookmarkEnd w:id="49"/>
      <w:bookmarkEnd w:id="50"/>
    </w:p>
    <w:p>
      <w:pPr>
        <w:pStyle w:val="2"/>
        <w:spacing w:before="93"/>
      </w:pPr>
    </w:p>
    <w:p>
      <w:pPr>
        <w:pStyle w:val="25"/>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其他收入：指单位取得的除上述收入以外的各项收入。主要是区县承担的民区学生免学费等。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5"/>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5"/>
        <w:spacing w:line="560" w:lineRule="exact"/>
        <w:ind w:firstLine="640" w:firstLineChars="200"/>
        <w:rPr>
          <w:rFonts w:ascii="仿宋_GB2312" w:eastAsia="仿宋_GB2312"/>
          <w:sz w:val="32"/>
          <w:szCs w:val="32"/>
        </w:rPr>
      </w:pPr>
      <w:r>
        <w:rPr>
          <w:rFonts w:hint="eastAsia" w:ascii="仿宋_GB2312" w:eastAsia="仿宋_GB2312"/>
          <w:sz w:val="32"/>
          <w:szCs w:val="32"/>
        </w:rPr>
        <w:t>9.一般公共服务（类）组织事务（款）其他组织事务支出（项）：反映政府提供一般公共服务支出。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教育（类）职业教育（款）中等职业教育（项）：指各部门举办的中等职业教育支出。</w:t>
      </w:r>
    </w:p>
    <w:p>
      <w:pPr>
        <w:pStyle w:val="25"/>
        <w:spacing w:line="560" w:lineRule="exact"/>
        <w:ind w:firstLine="640" w:firstLineChars="200"/>
        <w:rPr>
          <w:rStyle w:val="16"/>
          <w:rFonts w:hAnsi="仿宋"/>
          <w:bCs/>
          <w:sz w:val="32"/>
          <w:szCs w:val="32"/>
        </w:rPr>
      </w:pPr>
      <w:r>
        <w:rPr>
          <w:rFonts w:hint="eastAsia" w:ascii="仿宋_GB2312" w:hAnsi="Times New Roman" w:eastAsia="仿宋_GB2312" w:cs="Times New Roman"/>
          <w:kern w:val="2"/>
          <w:sz w:val="32"/>
          <w:szCs w:val="32"/>
        </w:rPr>
        <w:t>11.教育（类）进修及培训（款）教师进修（项）：指用于教师培训的支出。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12.教育（类）教育费附加安排的支出（款）其他教育费附加安排的支出（项）：民区学生免费教育经费，用于改善办学条件，充实学校公用经费等支出。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13.社会保障和就业（类）人力资源和社会保障管理事务（款）其他人力资源和社会保障管理事务支出（项）：用于引进高层次人才的安家费及房租支出。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14.社会保障和就业（类）行政事业单位养老支出（款）机关事业单位基本养老保险缴费支出（项）：用于机关事业单位职工基本养老保险单位部份缴费支出。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15.社会保障和就业（类）抚恤（款）死亡抚恤（项）：指国家机关，企事业单位对死者家属发放的一次性补助。</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住房保障（类）住房改革支出（款）住房公积金（项）：指行政事业单位按人力资源和社会保障部、财政部规定的基本工资和津贴补贴以及规定比例为职工缴纳的住房公积金。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
        <w:spacing w:before="93"/>
        <w:ind w:firstLine="640" w:firstLineChars="200"/>
        <w:jc w:val="left"/>
        <w:rPr>
          <w:sz w:val="32"/>
          <w:szCs w:val="32"/>
        </w:rPr>
      </w:pPr>
      <w:r>
        <w:rPr>
          <w:rFonts w:hint="eastAsia"/>
          <w:sz w:val="32"/>
          <w:szCs w:val="32"/>
        </w:rPr>
        <w:t>20</w:t>
      </w:r>
      <w:r>
        <w:rPr>
          <w:sz w:val="32"/>
          <w:szCs w:val="32"/>
        </w:rPr>
        <w:t>.</w:t>
      </w:r>
      <w:r>
        <w:rPr>
          <w:rFonts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Start w:id="51" w:name="_Toc15377226"/>
      <w:r>
        <w:rPr>
          <w:rFonts w:hint="eastAsia"/>
          <w:sz w:val="32"/>
          <w:szCs w:val="32"/>
        </w:rPr>
        <w:t>。</w:t>
      </w:r>
      <w:bookmarkStart w:id="52" w:name="_Toc15396618"/>
    </w:p>
    <w:p>
      <w:pPr>
        <w:spacing w:line="572" w:lineRule="exact"/>
        <w:jc w:val="center"/>
        <w:outlineLvl w:val="0"/>
        <w:rPr>
          <w:rFonts w:ascii="黑体" w:hAnsi="黑体" w:eastAsia="黑体" w:cs="黑体"/>
          <w:sz w:val="44"/>
          <w:szCs w:val="44"/>
        </w:rPr>
      </w:pPr>
    </w:p>
    <w:p>
      <w:pPr>
        <w:spacing w:line="572" w:lineRule="exact"/>
        <w:jc w:val="center"/>
        <w:outlineLvl w:val="0"/>
        <w:rPr>
          <w:rFonts w:ascii="黑体" w:hAnsi="黑体" w:eastAsia="黑体" w:cs="黑体"/>
          <w:sz w:val="44"/>
          <w:szCs w:val="44"/>
        </w:rPr>
      </w:pPr>
    </w:p>
    <w:p>
      <w:pPr>
        <w:spacing w:line="572" w:lineRule="exact"/>
        <w:jc w:val="center"/>
        <w:outlineLvl w:val="0"/>
        <w:rPr>
          <w:rFonts w:ascii="黑体" w:hAnsi="黑体" w:eastAsia="黑体" w:cs="黑体"/>
          <w:sz w:val="44"/>
          <w:szCs w:val="44"/>
        </w:rPr>
      </w:pPr>
      <w:r>
        <w:rPr>
          <w:rFonts w:hint="eastAsia" w:ascii="黑体" w:hAnsi="黑体" w:eastAsia="黑体" w:cs="黑体"/>
          <w:sz w:val="44"/>
          <w:szCs w:val="44"/>
        </w:rPr>
        <w:t>第四部分  附件</w:t>
      </w:r>
    </w:p>
    <w:p>
      <w:pPr>
        <w:pStyle w:val="2"/>
        <w:spacing w:before="93"/>
        <w:ind w:firstLine="640" w:firstLineChars="200"/>
        <w:jc w:val="left"/>
        <w:rPr>
          <w:sz w:val="32"/>
          <w:szCs w:val="32"/>
        </w:rPr>
      </w:pPr>
      <w:r>
        <w:rPr>
          <w:rFonts w:hint="eastAsia" w:ascii="仿宋" w:hAnsi="仿宋" w:eastAsia="仿宋" w:cs="仿宋"/>
          <w:sz w:val="32"/>
          <w:szCs w:val="32"/>
        </w:rPr>
        <w:t>部门预算项目支出绩效自评表（2022年度）见附件3</w:t>
      </w:r>
    </w:p>
    <w:p>
      <w:pPr>
        <w:spacing w:line="600" w:lineRule="exact"/>
        <w:jc w:val="center"/>
        <w:outlineLvl w:val="0"/>
        <w:rPr>
          <w:rFonts w:ascii="黑体" w:hAnsi="黑体" w:eastAsia="黑体"/>
          <w:sz w:val="44"/>
          <w:szCs w:val="44"/>
        </w:rPr>
      </w:pPr>
    </w:p>
    <w:p>
      <w:pPr>
        <w:spacing w:line="600" w:lineRule="exact"/>
        <w:jc w:val="both"/>
        <w:outlineLvl w:val="0"/>
        <w:rPr>
          <w:rFonts w:ascii="黑体" w:hAnsi="黑体" w:eastAsia="黑体"/>
          <w:sz w:val="44"/>
          <w:szCs w:val="44"/>
        </w:rPr>
      </w:pPr>
    </w:p>
    <w:p>
      <w:pPr>
        <w:spacing w:line="600" w:lineRule="exact"/>
        <w:jc w:val="center"/>
        <w:outlineLvl w:val="0"/>
        <w:rPr>
          <w:rFonts w:hint="eastAsia"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 附表</w:t>
      </w:r>
      <w:bookmarkEnd w:id="51"/>
      <w:bookmarkEnd w:id="52"/>
      <w:bookmarkStart w:id="53" w:name="_Toc15396619"/>
    </w:p>
    <w:p>
      <w:pPr>
        <w:pStyle w:val="4"/>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53"/>
    </w:p>
    <w:p>
      <w:pPr>
        <w:pStyle w:val="4"/>
        <w:rPr>
          <w:rFonts w:ascii="仿宋" w:hAnsi="仿宋" w:eastAsia="仿宋"/>
        </w:rPr>
      </w:pPr>
      <w:bookmarkStart w:id="54" w:name="_Toc15396620"/>
      <w:r>
        <w:rPr>
          <w:rFonts w:hint="eastAsia" w:ascii="仿宋" w:hAnsi="仿宋" w:eastAsia="仿宋"/>
          <w:b w:val="0"/>
        </w:rPr>
        <w:t>二、收</w:t>
      </w:r>
      <w:r>
        <w:rPr>
          <w:rStyle w:val="28"/>
          <w:rFonts w:hint="eastAsia" w:ascii="仿宋" w:hAnsi="仿宋" w:eastAsia="仿宋"/>
          <w:b w:val="0"/>
          <w:bCs w:val="0"/>
        </w:rPr>
        <w:t>入决算表</w:t>
      </w:r>
      <w:bookmarkEnd w:id="54"/>
    </w:p>
    <w:p>
      <w:pPr>
        <w:pStyle w:val="4"/>
        <w:rPr>
          <w:rFonts w:ascii="仿宋" w:hAnsi="仿宋" w:eastAsia="仿宋"/>
        </w:rPr>
      </w:pPr>
      <w:bookmarkStart w:id="55"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55"/>
    </w:p>
    <w:p>
      <w:pPr>
        <w:pStyle w:val="4"/>
        <w:rPr>
          <w:rFonts w:ascii="仿宋" w:hAnsi="仿宋" w:eastAsia="仿宋"/>
          <w:b w:val="0"/>
        </w:rPr>
      </w:pPr>
      <w:bookmarkStart w:id="56"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56"/>
    </w:p>
    <w:p>
      <w:pPr>
        <w:pStyle w:val="4"/>
        <w:rPr>
          <w:rStyle w:val="28"/>
          <w:rFonts w:ascii="仿宋" w:hAnsi="仿宋" w:eastAsia="仿宋"/>
          <w:b w:val="0"/>
          <w:bCs w:val="0"/>
        </w:rPr>
      </w:pPr>
      <w:bookmarkStart w:id="57"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57"/>
      <w:bookmarkStart w:id="58" w:name="_Toc15396624"/>
    </w:p>
    <w:p>
      <w:pPr>
        <w:pStyle w:val="4"/>
        <w:rPr>
          <w:rFonts w:ascii="仿宋" w:hAnsi="仿宋" w:eastAsia="仿宋"/>
        </w:rPr>
      </w:pPr>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58"/>
    </w:p>
    <w:p>
      <w:pPr>
        <w:pStyle w:val="4"/>
        <w:rPr>
          <w:rFonts w:ascii="仿宋" w:hAnsi="仿宋" w:eastAsia="仿宋"/>
        </w:rPr>
      </w:pPr>
      <w:bookmarkStart w:id="59"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59"/>
    </w:p>
    <w:p>
      <w:pPr>
        <w:pStyle w:val="4"/>
        <w:rPr>
          <w:rFonts w:ascii="仿宋" w:hAnsi="仿宋" w:eastAsia="仿宋"/>
        </w:rPr>
      </w:pPr>
      <w:bookmarkStart w:id="60"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60"/>
    </w:p>
    <w:p>
      <w:pPr>
        <w:pStyle w:val="4"/>
        <w:rPr>
          <w:rFonts w:ascii="仿宋" w:hAnsi="仿宋" w:eastAsia="仿宋"/>
        </w:rPr>
      </w:pPr>
      <w:bookmarkStart w:id="61"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61"/>
    </w:p>
    <w:p>
      <w:pPr>
        <w:pStyle w:val="4"/>
        <w:rPr>
          <w:rStyle w:val="28"/>
          <w:rFonts w:hint="eastAsia" w:ascii="仿宋" w:hAnsi="仿宋" w:eastAsia="仿宋"/>
          <w:b w:val="0"/>
          <w:bCs w:val="0"/>
          <w:lang w:eastAsia="zh-CN"/>
        </w:rPr>
      </w:pPr>
      <w:bookmarkStart w:id="62" w:name="_Toc15396628"/>
      <w:r>
        <w:rPr>
          <w:rStyle w:val="28"/>
          <w:rFonts w:hint="eastAsia" w:ascii="仿宋" w:hAnsi="仿宋" w:eastAsia="仿宋"/>
          <w:b w:val="0"/>
          <w:bCs w:val="0"/>
        </w:rPr>
        <w:t>十、</w:t>
      </w:r>
      <w:bookmarkEnd w:id="62"/>
      <w:r>
        <w:rPr>
          <w:rFonts w:hint="eastAsia" w:ascii="仿宋" w:hAnsi="仿宋" w:eastAsia="仿宋"/>
          <w:b w:val="0"/>
        </w:rPr>
        <w:t>政</w:t>
      </w:r>
      <w:r>
        <w:rPr>
          <w:rStyle w:val="28"/>
          <w:rFonts w:hint="eastAsia" w:ascii="仿宋" w:hAnsi="仿宋" w:eastAsia="仿宋"/>
          <w:b w:val="0"/>
          <w:bCs w:val="0"/>
        </w:rPr>
        <w:t>府性基金预算财政拨款收入支出决算表</w:t>
      </w:r>
      <w:r>
        <w:rPr>
          <w:rStyle w:val="28"/>
          <w:rFonts w:hint="eastAsia" w:ascii="仿宋" w:hAnsi="仿宋" w:eastAsia="仿宋"/>
          <w:b w:val="0"/>
          <w:bCs w:val="0"/>
          <w:lang w:eastAsia="zh-CN"/>
        </w:rPr>
        <w:t>（此表无数据）</w:t>
      </w:r>
    </w:p>
    <w:p>
      <w:pPr>
        <w:pStyle w:val="4"/>
        <w:rPr>
          <w:rFonts w:hint="eastAsia" w:eastAsia="仿宋"/>
          <w:lang w:eastAsia="zh-CN"/>
        </w:rPr>
      </w:pPr>
      <w:bookmarkStart w:id="63" w:name="_Toc15396629"/>
      <w:r>
        <w:rPr>
          <w:rStyle w:val="28"/>
          <w:rFonts w:hint="eastAsia" w:ascii="仿宋" w:hAnsi="仿宋" w:eastAsia="仿宋"/>
          <w:b w:val="0"/>
          <w:bCs w:val="0"/>
        </w:rPr>
        <w:t>十一、</w:t>
      </w:r>
      <w:bookmarkEnd w:id="63"/>
      <w:r>
        <w:rPr>
          <w:rFonts w:hint="eastAsia" w:ascii="仿宋" w:hAnsi="仿宋" w:eastAsia="仿宋"/>
          <w:b w:val="0"/>
        </w:rPr>
        <w:t>国</w:t>
      </w:r>
      <w:r>
        <w:rPr>
          <w:rStyle w:val="28"/>
          <w:rFonts w:hint="eastAsia" w:ascii="仿宋" w:hAnsi="仿宋" w:eastAsia="仿宋"/>
          <w:b w:val="0"/>
          <w:bCs w:val="0"/>
        </w:rPr>
        <w:t>有资本经营预算财政拨款收入支出决算表</w:t>
      </w:r>
      <w:r>
        <w:rPr>
          <w:rStyle w:val="28"/>
          <w:rFonts w:hint="eastAsia" w:ascii="仿宋" w:hAnsi="仿宋" w:eastAsia="仿宋"/>
          <w:b w:val="0"/>
          <w:bCs w:val="0"/>
          <w:lang w:eastAsia="zh-CN"/>
        </w:rPr>
        <w:t>（此表无数据）</w:t>
      </w:r>
    </w:p>
    <w:p>
      <w:pPr>
        <w:pStyle w:val="4"/>
        <w:rPr>
          <w:rFonts w:hint="eastAsia" w:ascii="仿宋" w:hAnsi="仿宋" w:eastAsia="仿宋" w:cs="仿宋"/>
          <w:lang w:eastAsia="zh-CN"/>
        </w:rPr>
      </w:pPr>
      <w:bookmarkStart w:id="64" w:name="_Toc15396630"/>
      <w:r>
        <w:rPr>
          <w:rStyle w:val="28"/>
          <w:rFonts w:hint="eastAsia" w:ascii="仿宋" w:hAnsi="仿宋" w:eastAsia="仿宋"/>
          <w:b w:val="0"/>
          <w:bCs w:val="0"/>
        </w:rPr>
        <w:t>十二、</w:t>
      </w:r>
      <w:bookmarkEnd w:id="64"/>
      <w:r>
        <w:rPr>
          <w:rStyle w:val="28"/>
          <w:rFonts w:hint="eastAsia" w:ascii="仿宋" w:hAnsi="仿宋" w:eastAsia="仿宋"/>
          <w:b w:val="0"/>
          <w:bCs w:val="0"/>
        </w:rPr>
        <w:t>国有资本经营预算财政拨款支出决算表</w:t>
      </w:r>
      <w:r>
        <w:rPr>
          <w:rStyle w:val="28"/>
          <w:rFonts w:hint="eastAsia" w:ascii="仿宋" w:hAnsi="仿宋" w:eastAsia="仿宋"/>
          <w:b w:val="0"/>
          <w:bCs w:val="0"/>
          <w:lang w:eastAsia="zh-CN"/>
        </w:rPr>
        <w:t>（此表无数据）</w:t>
      </w:r>
    </w:p>
    <w:p>
      <w:pPr>
        <w:pStyle w:val="4"/>
        <w:rPr>
          <w:rFonts w:eastAsia="仿宋"/>
        </w:rPr>
      </w:pPr>
      <w:bookmarkStart w:id="65" w:name="_Toc15396631"/>
      <w:r>
        <w:rPr>
          <w:rStyle w:val="28"/>
          <w:rFonts w:hint="eastAsia" w:ascii="仿宋" w:hAnsi="仿宋" w:eastAsia="仿宋"/>
          <w:b w:val="0"/>
          <w:bCs w:val="0"/>
        </w:rPr>
        <w:t>十三、</w:t>
      </w:r>
      <w:bookmarkEnd w:id="65"/>
      <w:r>
        <w:rPr>
          <w:rStyle w:val="28"/>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4</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EF9ED7"/>
    <w:multiLevelType w:val="singleLevel"/>
    <w:tmpl w:val="AEEF9ED7"/>
    <w:lvl w:ilvl="0" w:tentative="0">
      <w:start w:val="1"/>
      <w:numFmt w:val="decimal"/>
      <w:lvlText w:val="%1."/>
      <w:lvlJc w:val="left"/>
      <w:pPr>
        <w:tabs>
          <w:tab w:val="left" w:pos="567"/>
        </w:tabs>
        <w:ind w:firstLine="567"/>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D0E97B31"/>
    <w:multiLevelType w:val="singleLevel"/>
    <w:tmpl w:val="D0E97B31"/>
    <w:lvl w:ilvl="0" w:tentative="0">
      <w:start w:val="2"/>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818A09A"/>
    <w:multiLevelType w:val="singleLevel"/>
    <w:tmpl w:val="3818A09A"/>
    <w:lvl w:ilvl="0" w:tentative="0">
      <w:start w:val="1"/>
      <w:numFmt w:val="chineseCounting"/>
      <w:suff w:val="nothing"/>
      <w:lvlText w:val="%1、"/>
      <w:lvlJc w:val="left"/>
      <w:rPr>
        <w:rFonts w:hint="eastAsia"/>
      </w:rPr>
    </w:lvl>
  </w:abstractNum>
  <w:abstractNum w:abstractNumId="6">
    <w:nsid w:val="747F9AF6"/>
    <w:multiLevelType w:val="singleLevel"/>
    <w:tmpl w:val="747F9AF6"/>
    <w:lvl w:ilvl="0" w:tentative="0">
      <w:start w:val="1"/>
      <w:numFmt w:val="decimal"/>
      <w:lvlText w:val="%1."/>
      <w:lvlJc w:val="left"/>
      <w:pPr>
        <w:tabs>
          <w:tab w:val="left" w:pos="567"/>
        </w:tabs>
        <w:ind w:firstLine="567"/>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JmMDM2ZWIwNTYxZjRkYzM5YzM1NjJhYjZmZGI2YW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A2EF1"/>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C72A3"/>
    <w:rsid w:val="006F020C"/>
    <w:rsid w:val="007001C0"/>
    <w:rsid w:val="007127B7"/>
    <w:rsid w:val="0071798E"/>
    <w:rsid w:val="007416B6"/>
    <w:rsid w:val="00746F48"/>
    <w:rsid w:val="0075404D"/>
    <w:rsid w:val="0076182A"/>
    <w:rsid w:val="00767B7E"/>
    <w:rsid w:val="007770C3"/>
    <w:rsid w:val="00784D24"/>
    <w:rsid w:val="00785FBA"/>
    <w:rsid w:val="00786E4A"/>
    <w:rsid w:val="007875EB"/>
    <w:rsid w:val="0079426B"/>
    <w:rsid w:val="007A1B5E"/>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9676A"/>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958DB"/>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5678"/>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26A09"/>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3C06"/>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61E5B15"/>
    <w:rsid w:val="0A2032A3"/>
    <w:rsid w:val="0B8A37D8"/>
    <w:rsid w:val="10685029"/>
    <w:rsid w:val="10C055FF"/>
    <w:rsid w:val="118107EC"/>
    <w:rsid w:val="11DD6519"/>
    <w:rsid w:val="16BB723D"/>
    <w:rsid w:val="177F22FA"/>
    <w:rsid w:val="18015F3F"/>
    <w:rsid w:val="189975C2"/>
    <w:rsid w:val="1AC94CE3"/>
    <w:rsid w:val="1BE8440E"/>
    <w:rsid w:val="1D155CEE"/>
    <w:rsid w:val="1D884F5D"/>
    <w:rsid w:val="1E14318B"/>
    <w:rsid w:val="1F4F2413"/>
    <w:rsid w:val="20F57F95"/>
    <w:rsid w:val="240371BF"/>
    <w:rsid w:val="24D70E2F"/>
    <w:rsid w:val="25711CC6"/>
    <w:rsid w:val="25C741E6"/>
    <w:rsid w:val="27842671"/>
    <w:rsid w:val="28923519"/>
    <w:rsid w:val="29FD04D3"/>
    <w:rsid w:val="2A8E47B8"/>
    <w:rsid w:val="2ABE7A3E"/>
    <w:rsid w:val="2CA234A8"/>
    <w:rsid w:val="2E935B33"/>
    <w:rsid w:val="2EFA178C"/>
    <w:rsid w:val="30B46D73"/>
    <w:rsid w:val="319F7F4E"/>
    <w:rsid w:val="32550DE4"/>
    <w:rsid w:val="36EA459D"/>
    <w:rsid w:val="383D272C"/>
    <w:rsid w:val="39AE70AB"/>
    <w:rsid w:val="3C0C0783"/>
    <w:rsid w:val="3F9F3A96"/>
    <w:rsid w:val="488A0B30"/>
    <w:rsid w:val="48BF60AB"/>
    <w:rsid w:val="493C27E9"/>
    <w:rsid w:val="496F39ED"/>
    <w:rsid w:val="498D5CC5"/>
    <w:rsid w:val="49FF41D3"/>
    <w:rsid w:val="4BE068DB"/>
    <w:rsid w:val="4BF6002B"/>
    <w:rsid w:val="4D11611D"/>
    <w:rsid w:val="4E3B354C"/>
    <w:rsid w:val="4ECE2238"/>
    <w:rsid w:val="51DB4B86"/>
    <w:rsid w:val="55333C3E"/>
    <w:rsid w:val="5923472F"/>
    <w:rsid w:val="616051E0"/>
    <w:rsid w:val="64CA39A1"/>
    <w:rsid w:val="69630ADE"/>
    <w:rsid w:val="6C4A05C8"/>
    <w:rsid w:val="6CB23430"/>
    <w:rsid w:val="6D3B1A89"/>
    <w:rsid w:val="6D3D04CC"/>
    <w:rsid w:val="70B30B1E"/>
    <w:rsid w:val="71BF4EC2"/>
    <w:rsid w:val="72734D90"/>
    <w:rsid w:val="7412278C"/>
    <w:rsid w:val="78E27D40"/>
    <w:rsid w:val="79E7B28D"/>
    <w:rsid w:val="7C064CC2"/>
    <w:rsid w:val="7F671451"/>
    <w:rsid w:val="7F9F20EE"/>
    <w:rsid w:val="9E3A10E2"/>
    <w:rsid w:val="F2E1F9D4"/>
    <w:rsid w:val="F7880819"/>
    <w:rsid w:val="FEDF7DB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annotation text"/>
    <w:basedOn w:val="1"/>
    <w:link w:val="33"/>
    <w:semiHidden/>
    <w:unhideWhenUsed/>
    <w:qFormat/>
    <w:uiPriority w:val="99"/>
    <w:pPr>
      <w:jc w:val="left"/>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annotation subject"/>
    <w:basedOn w:val="6"/>
    <w:next w:val="6"/>
    <w:link w:val="34"/>
    <w:semiHidden/>
    <w:unhideWhenUsed/>
    <w:qFormat/>
    <w:uiPriority w:val="99"/>
    <w:rPr>
      <w:b/>
      <w:bCs/>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rPr>
  </w:style>
  <w:style w:type="character" w:styleId="18">
    <w:name w:val="annotation reference"/>
    <w:basedOn w:val="15"/>
    <w:semiHidden/>
    <w:unhideWhenUsed/>
    <w:qFormat/>
    <w:uiPriority w:val="99"/>
    <w:rPr>
      <w:sz w:val="21"/>
      <w:szCs w:val="21"/>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5"/>
    <w:link w:val="3"/>
    <w:qFormat/>
    <w:uiPriority w:val="9"/>
    <w:rPr>
      <w:rFonts w:ascii="Times New Roman" w:hAnsi="Times New Roman"/>
      <w:b/>
      <w:bCs/>
      <w:kern w:val="44"/>
      <w:sz w:val="44"/>
      <w:szCs w:val="44"/>
    </w:rPr>
  </w:style>
  <w:style w:type="character" w:customStyle="1" w:styleId="28">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5"/>
    <w:link w:val="8"/>
    <w:semiHidden/>
    <w:qFormat/>
    <w:uiPriority w:val="99"/>
    <w:rPr>
      <w:rFonts w:ascii="Times New Roman" w:hAnsi="Times New Roman"/>
      <w:kern w:val="2"/>
      <w:sz w:val="18"/>
      <w:szCs w:val="18"/>
    </w:rPr>
  </w:style>
  <w:style w:type="character" w:customStyle="1" w:styleId="31">
    <w:name w:val="标题 3 Char"/>
    <w:basedOn w:val="15"/>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3">
    <w:name w:val="批注文字 Char"/>
    <w:basedOn w:val="15"/>
    <w:link w:val="6"/>
    <w:semiHidden/>
    <w:qFormat/>
    <w:uiPriority w:val="99"/>
    <w:rPr>
      <w:rFonts w:ascii="Times New Roman" w:hAnsi="Times New Roman" w:eastAsia="宋体" w:cs="Times New Roman"/>
      <w:kern w:val="2"/>
      <w:sz w:val="21"/>
      <w:szCs w:val="24"/>
    </w:rPr>
  </w:style>
  <w:style w:type="character" w:customStyle="1" w:styleId="34">
    <w:name w:val="批注主题 Char"/>
    <w:basedOn w:val="33"/>
    <w:link w:val="13"/>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2022&#24180;&#20915;&#31639;&#20844;&#24320;\&#22270;&#24418;&#32534;&#21046;&#33609;&#312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4180;&#20915;&#31639;&#20844;&#24320;\&#22270;&#24418;&#32534;&#21046;&#33609;&#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200" b="1"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altLang="en-US">
                <a:solidFill>
                  <a:schemeClr val="tx1"/>
                </a:solidFill>
              </a:rPr>
              <a:t>收、支决算总计变动情况图</a:t>
            </a:r>
            <a:endParaRPr altLang="en-US">
              <a:solidFill>
                <a:schemeClr val="tx1"/>
              </a:solidFill>
            </a:endParaRPr>
          </a:p>
          <a:p>
            <a:pPr>
              <a:defRPr lang="zh-CN" sz="1200" b="1"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altLang="en-US" b="0">
                <a:solidFill>
                  <a:schemeClr val="tx1"/>
                </a:solidFill>
              </a:rPr>
              <a:t>单位：万元</a:t>
            </a:r>
            <a:endParaRPr altLang="en-US" b="0">
              <a:solidFill>
                <a:schemeClr val="tx1"/>
              </a:solidFill>
            </a:endParaRPr>
          </a:p>
        </c:rich>
      </c:tx>
      <c:layout/>
      <c:overlay val="0"/>
      <c:spPr>
        <a:noFill/>
        <a:ln>
          <a:noFill/>
        </a:ln>
        <a:effectLst/>
      </c:spPr>
    </c:title>
    <c:autoTitleDeleted val="0"/>
    <c:plotArea>
      <c:layout>
        <c:manualLayout>
          <c:layoutTarget val="inner"/>
          <c:xMode val="edge"/>
          <c:yMode val="edge"/>
          <c:x val="0.128377319048863"/>
          <c:y val="0.244897959183673"/>
          <c:w val="0.798641233342043"/>
          <c:h val="0.566358754027927"/>
        </c:manualLayout>
      </c:layout>
      <c:barChart>
        <c:barDir val="col"/>
        <c:grouping val="clustered"/>
        <c:varyColors val="0"/>
        <c:ser>
          <c:idx val="0"/>
          <c:order val="0"/>
          <c:tx>
            <c:strRef>
              <c:f>[图形编制草稿.xlsx]Sheet1!$A$3</c:f>
              <c:strCache>
                <c:ptCount val="1"/>
                <c:pt idx="0">
                  <c:v>收入、支出总计</c:v>
                </c:pt>
              </c:strCache>
            </c:strRef>
          </c:tx>
          <c:spPr>
            <a:solidFill>
              <a:srgbClr val="3FB27E"/>
            </a:solidFill>
            <a:ln>
              <a:noFill/>
            </a:ln>
            <a:effectLst/>
          </c:spPr>
          <c:invertIfNegative val="0"/>
          <c:dLbls>
            <c:delete val="1"/>
          </c:dLbls>
          <c:cat>
            <c:strRef>
              <c:f>[图形编制草稿.xlsx]Sheet1!$B$2:$C$2</c:f>
              <c:strCache>
                <c:ptCount val="2"/>
                <c:pt idx="0">
                  <c:v>2022年度</c:v>
                </c:pt>
                <c:pt idx="1">
                  <c:v>2021年度</c:v>
                </c:pt>
              </c:strCache>
            </c:strRef>
          </c:cat>
          <c:val>
            <c:numRef>
              <c:f>[图形编制草稿.xlsx]Sheet1!$B$3:$C$3</c:f>
              <c:numCache>
                <c:formatCode>General</c:formatCode>
                <c:ptCount val="2"/>
                <c:pt idx="0">
                  <c:v>7895.56</c:v>
                </c:pt>
                <c:pt idx="1">
                  <c:v>6806.04</c:v>
                </c:pt>
              </c:numCache>
            </c:numRef>
          </c:val>
        </c:ser>
        <c:dLbls>
          <c:showLegendKey val="0"/>
          <c:showVal val="0"/>
          <c:showCatName val="0"/>
          <c:showSerName val="0"/>
          <c:showPercent val="0"/>
          <c:showBubbleSize val="0"/>
        </c:dLbls>
        <c:gapWidth val="150"/>
        <c:overlap val="100"/>
        <c:axId val="52701440"/>
        <c:axId val="52707328"/>
      </c:barChart>
      <c:catAx>
        <c:axId val="52701440"/>
        <c:scaling>
          <c:orientation val="minMax"/>
        </c:scaling>
        <c:delete val="0"/>
        <c:axPos val="b"/>
        <c:numFmt formatCode="General" sourceLinked="1"/>
        <c:majorTickMark val="none"/>
        <c:minorTickMark val="none"/>
        <c:tickLblPos val="nextTo"/>
        <c:spPr>
          <a:noFill/>
          <a:ln w="9525" cap="flat" cmpd="sng" algn="ctr">
            <a:solidFill>
              <a:srgbClr val="2E324F"/>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bg1">
                    <a:lumMod val="50000"/>
                  </a:schemeClr>
                </a:solidFill>
                <a:latin typeface="+mn-lt"/>
                <a:ea typeface="+mn-ea"/>
                <a:cs typeface="+mn-cs"/>
              </a:defRPr>
            </a:pPr>
          </a:p>
        </c:txPr>
        <c:crossAx val="52707328"/>
        <c:crosses val="autoZero"/>
        <c:auto val="1"/>
        <c:lblAlgn val="ctr"/>
        <c:lblOffset val="100"/>
        <c:noMultiLvlLbl val="0"/>
      </c:catAx>
      <c:valAx>
        <c:axId val="52707328"/>
        <c:scaling>
          <c:orientation val="minMax"/>
        </c:scaling>
        <c:delete val="0"/>
        <c:axPos val="l"/>
        <c:majorGridlines>
          <c:spPr>
            <a:ln w="9525" cap="flat" cmpd="sng" algn="ctr">
              <a:solidFill>
                <a:srgbClr val="2E324F"/>
              </a:solidFill>
              <a:prstDash val="solid"/>
              <a:round/>
            </a:ln>
            <a:effectLst/>
          </c:spPr>
        </c:majorGridlines>
        <c:numFmt formatCode="General" sourceLinked="1"/>
        <c:majorTickMark val="none"/>
        <c:minorTickMark val="none"/>
        <c:tickLblPos val="nextTo"/>
        <c:spPr>
          <a:noFill/>
          <a:ln w="9525" cap="flat" cmpd="sng" algn="ctr">
            <a:solidFill>
              <a:srgbClr val="4F81BD"/>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solidFill>
                <a:latin typeface="+mn-lt"/>
                <a:ea typeface="+mn-ea"/>
                <a:cs typeface="+mn-cs"/>
              </a:defRPr>
            </a:pPr>
          </a:p>
        </c:txPr>
        <c:crossAx val="52701440"/>
        <c:crosses val="autoZero"/>
        <c:crossBetween val="between"/>
      </c:valAx>
      <c:dTable>
        <c:showHorzBorder val="1"/>
        <c:showVertBorder val="1"/>
        <c:showOutline val="1"/>
        <c:showKeys val="1"/>
        <c:spPr>
          <a:solidFill>
            <a:srgbClr val="1F497D">
              <a:lumMod val="40000"/>
              <a:lumOff val="60000"/>
            </a:srgbClr>
          </a:solidFill>
          <a:ln w="0" cap="flat" cmpd="sng" algn="ctr">
            <a:solidFill>
              <a:sysClr val="windowText" lastClr="000000"/>
            </a:solidFill>
            <a:prstDash val="solid"/>
            <a:round/>
          </a:ln>
          <a:effectLst/>
        </c:spPr>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dTable>
      <c:spPr>
        <a:noFill/>
        <a:ln>
          <a:noFill/>
        </a:ln>
        <a:effectLst/>
      </c:spPr>
    </c:plotArea>
    <c:plotVisOnly val="1"/>
    <c:dispBlanksAs val="gap"/>
    <c:showDLblsOverMax val="0"/>
  </c:chart>
  <c:spPr>
    <a:solidFill>
      <a:srgbClr val="1F497D">
        <a:lumMod val="40000"/>
        <a:lumOff val="60000"/>
      </a:srgbClr>
    </a:solidFill>
    <a:ln w="9525" cap="flat" cmpd="sng" algn="ctr">
      <a:no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收入决算结构图</a:t>
            </a:r>
          </a:p>
          <a:p>
            <a:pPr defTabSz="914400">
              <a:defRPr lang="zh-CN" sz="1600" b="1" i="0" u="none" strike="noStrike" kern="1200" baseline="0">
                <a:solidFill>
                  <a:schemeClr val="tx2"/>
                </a:solidFill>
                <a:latin typeface="+mn-lt"/>
                <a:ea typeface="+mn-ea"/>
                <a:cs typeface="+mn-cs"/>
              </a:defRPr>
            </a:pPr>
            <a:r>
              <a:rPr b="0"/>
              <a:t>单位：万元</a:t>
            </a:r>
            <a:endParaRPr b="0"/>
          </a:p>
        </c:rich>
      </c:tx>
      <c:layout>
        <c:manualLayout>
          <c:xMode val="edge"/>
          <c:yMode val="edge"/>
          <c:x val="0.344444444444444"/>
          <c:y val="0.0277777777777778"/>
        </c:manualLayout>
      </c:layout>
      <c:overlay val="0"/>
      <c:spPr>
        <a:noFill/>
        <a:ln>
          <a:noFill/>
        </a:ln>
        <a:effectLst/>
      </c:spPr>
    </c:title>
    <c:autoTitleDeleted val="0"/>
    <c:plotArea>
      <c:layout/>
      <c:pieChart>
        <c:varyColors val="1"/>
        <c:ser>
          <c:idx val="0"/>
          <c:order val="0"/>
          <c:spPr>
            <a:scene3d>
              <a:camera prst="orthographicFront"/>
              <a:lightRig rig="threePt" dir="t"/>
            </a:scene3d>
            <a:sp3d contourW="9525"/>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contourW="9525"/>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contourW="9525"/>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scene3d>
              <a:sp3d contourW="9525"/>
            </c:spPr>
          </c:dPt>
          <c:dLbls>
            <c:dLbl>
              <c:idx val="1"/>
              <c:layout>
                <c:manualLayout>
                  <c:x val="-0.1"/>
                  <c:y val="-0.020833333333333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39583333333333"/>
                  <c:y val="-0.010416666666666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2">
                          <a:lumMod val="35000"/>
                          <a:lumOff val="65000"/>
                        </a:schemeClr>
                      </a:solidFill>
                      <a:prstDash val="solid"/>
                      <a:round/>
                    </a:ln>
                    <a:effectLst/>
                  </c:spPr>
                </c15:leaderLines>
              </c:ext>
            </c:extLst>
          </c:dLbls>
          <c:cat>
            <c:strRef>
              <c:f>[图形编制草稿.xlsx]Sheet1!$B$6:$D$6</c:f>
              <c:strCache>
                <c:ptCount val="3"/>
                <c:pt idx="0">
                  <c:v>财政拨款收入</c:v>
                </c:pt>
                <c:pt idx="1">
                  <c:v>事业收入</c:v>
                </c:pt>
                <c:pt idx="2">
                  <c:v>其他收入</c:v>
                </c:pt>
              </c:strCache>
            </c:strRef>
          </c:cat>
          <c:val>
            <c:numRef>
              <c:f>[图形编制草稿.xlsx]Sheet1!$B$7:$D$7</c:f>
              <c:numCache>
                <c:formatCode>#,##0.00</c:formatCode>
                <c:ptCount val="3"/>
                <c:pt idx="0">
                  <c:v>7763.54</c:v>
                </c:pt>
                <c:pt idx="1">
                  <c:v>82.61</c:v>
                </c:pt>
                <c:pt idx="2">
                  <c:v>13.53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12700" cap="flat" cmpd="sng" algn="ctr">
      <a:solidFill>
        <a:schemeClr val="tx1"/>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0" vertOverflow="ellipsis" vert="horz" wrap="square" anchor="ctr" anchorCtr="1"/>
          <a:lstStyle/>
          <a:p>
            <a:pPr defTabSz="914400">
              <a:defRPr lang="zh-CN" sz="1800" b="1" i="0" u="none" strike="noStrike" kern="1200" cap="all" baseline="0">
                <a:solidFill>
                  <a:schemeClr val="tx1">
                    <a:lumMod val="65000"/>
                    <a:lumOff val="35000"/>
                  </a:schemeClr>
                </a:solidFill>
                <a:latin typeface="+mn-lt"/>
                <a:ea typeface="+mn-ea"/>
                <a:cs typeface="+mn-cs"/>
              </a:defRPr>
            </a:pPr>
            <a:r>
              <a:rPr sz="1600">
                <a:solidFill>
                  <a:sysClr val="windowText" lastClr="000000"/>
                </a:solidFill>
              </a:rPr>
              <a:t>支出决算</a:t>
            </a:r>
            <a:r>
              <a:rPr sz="1600">
                <a:solidFill>
                  <a:sysClr val="windowText" lastClr="000000"/>
                </a:solidFill>
                <a:uFillTx/>
              </a:rPr>
              <a:t>结构</a:t>
            </a:r>
            <a:r>
              <a:rPr sz="1600">
                <a:solidFill>
                  <a:sysClr val="windowText" lastClr="000000"/>
                </a:solidFill>
              </a:rPr>
              <a:t>图</a:t>
            </a:r>
            <a:endParaRPr sz="1600">
              <a:solidFill>
                <a:sysClr val="windowText" lastClr="000000"/>
              </a:solidFill>
            </a:endParaRPr>
          </a:p>
          <a:p>
            <a:pPr defTabSz="914400">
              <a:defRPr lang="zh-CN" sz="1800" b="1" i="0" u="none" strike="noStrike" kern="1200" cap="all" baseline="0">
                <a:solidFill>
                  <a:schemeClr val="tx1">
                    <a:lumMod val="65000"/>
                    <a:lumOff val="35000"/>
                  </a:schemeClr>
                </a:solidFill>
                <a:latin typeface="+mn-lt"/>
                <a:ea typeface="+mn-ea"/>
                <a:cs typeface="+mn-cs"/>
              </a:defRPr>
            </a:pPr>
            <a:r>
              <a:rPr sz="1600" b="0">
                <a:solidFill>
                  <a:sysClr val="windowText" lastClr="000000"/>
                </a:solidFill>
              </a:rPr>
              <a:t>单位：万元</a:t>
            </a:r>
            <a:endParaRPr sz="1600" b="0">
              <a:solidFill>
                <a:sysClr val="windowText" lastClr="000000"/>
              </a:solidFill>
            </a:endParaRPr>
          </a:p>
        </c:rich>
      </c:tx>
      <c:layout/>
      <c:overlay val="0"/>
      <c:spPr>
        <a:noFill/>
        <a:ln>
          <a:noFill/>
        </a:ln>
        <a:effectLst/>
      </c:spPr>
    </c:title>
    <c:autoTitleDeleted val="0"/>
    <c:plotArea>
      <c:layout/>
      <c:pieChart>
        <c:varyColors val="1"/>
        <c:ser>
          <c:idx val="0"/>
          <c:order val="0"/>
          <c:spPr>
            <a:scene3d>
              <a:camera prst="orthographicFront"/>
              <a:lightRig rig="threePt" dir="t"/>
            </a:scene3d>
            <a:sp3d contourW="19050"/>
          </c:spPr>
          <c:explosion val="0"/>
          <c:dPt>
            <c:idx val="0"/>
            <c:bubble3D val="0"/>
            <c:spPr>
              <a:solidFill>
                <a:schemeClr val="accent1">
                  <a:shade val="76667"/>
                  <a:alpha val="90000"/>
                </a:schemeClr>
              </a:solidFill>
              <a:ln w="19050">
                <a:solidFill>
                  <a:schemeClr val="accent1">
                    <a:shade val="76667"/>
                    <a:lumMod val="75000"/>
                  </a:schemeClr>
                </a:solidFill>
              </a:ln>
              <a:effectLst>
                <a:innerShdw blurRad="114300">
                  <a:schemeClr val="accent1">
                    <a:shade val="76667"/>
                    <a:lumMod val="75000"/>
                  </a:schemeClr>
                </a:innerShdw>
              </a:effectLst>
              <a:scene3d>
                <a:camera prst="orthographicFront"/>
                <a:lightRig rig="threePt" dir="t"/>
              </a:scene3d>
              <a:sp3d contourW="19050"/>
            </c:spPr>
          </c:dPt>
          <c:dPt>
            <c:idx val="1"/>
            <c:bubble3D val="0"/>
            <c:spPr>
              <a:solidFill>
                <a:schemeClr val="accent1">
                  <a:tint val="76667"/>
                  <a:alpha val="90000"/>
                </a:schemeClr>
              </a:solidFill>
              <a:ln w="19050">
                <a:solidFill>
                  <a:schemeClr val="accent1">
                    <a:tint val="76667"/>
                    <a:lumMod val="75000"/>
                  </a:schemeClr>
                </a:solidFill>
              </a:ln>
              <a:effectLst>
                <a:innerShdw blurRad="114300">
                  <a:schemeClr val="accent1">
                    <a:tint val="76667"/>
                    <a:lumMod val="75000"/>
                  </a:schemeClr>
                </a:innerShdw>
              </a:effectLst>
              <a:scene3d>
                <a:camera prst="orthographicFront"/>
                <a:lightRig rig="threePt" dir="t"/>
              </a:scene3d>
              <a:sp3d contourW="19050"/>
            </c:spPr>
          </c:dPt>
          <c:dLbls>
            <c:dLbl>
              <c:idx val="1"/>
              <c:layout>
                <c:manualLayout>
                  <c:x val="0.162291695343726"/>
                  <c:y val="0.0777578012239035"/>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w="12700" cap="flat" cmpd="sng" algn="ctr">
                <a:no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lang="zh-CN" sz="1000" b="0" i="0" u="none" strike="noStrike" kern="1200" cap="none" spc="0" normalizeH="0" baseline="0">
                    <a:solidFill>
                      <a:schemeClr val="tx1"/>
                    </a:solidFill>
                    <a:effectLst/>
                    <a:uFill>
                      <a:solidFill>
                        <a:schemeClr val="accent1"/>
                      </a:solidFill>
                    </a:uFill>
                    <a:latin typeface="+mn-lt"/>
                    <a:ea typeface="+mn-ea"/>
                    <a:cs typeface="+mn-cs"/>
                  </a:defRPr>
                </a:pPr>
              </a:p>
            </c:txPr>
            <c:dLblPos val="inEnd"/>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[图形编制草稿.xlsx]Sheet1!$B$9:$C$9</c:f>
              <c:strCache>
                <c:ptCount val="2"/>
                <c:pt idx="0">
                  <c:v>基本支出</c:v>
                </c:pt>
                <c:pt idx="1">
                  <c:v>项目支出</c:v>
                </c:pt>
              </c:strCache>
            </c:strRef>
          </c:cat>
          <c:val>
            <c:numRef>
              <c:f>[图形编制草稿.xlsx]Sheet1!$B$10:$C$10</c:f>
              <c:numCache>
                <c:formatCode>#,##0.00</c:formatCode>
                <c:ptCount val="2"/>
                <c:pt idx="0">
                  <c:v>5533.82</c:v>
                </c:pt>
                <c:pt idx="1">
                  <c:v>2258.08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财政拨款收、支总计变动情况表</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[图形编制草稿.xlsx]Sheet1!$A$14</c:f>
              <c:strCache>
                <c:ptCount val="1"/>
                <c:pt idx="0">
                  <c:v>财政拨款收、支总计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[图形编制草稿.xlsx]Sheet1!$B$13:$C$13</c:f>
              <c:strCache>
                <c:ptCount val="2"/>
                <c:pt idx="0">
                  <c:v>2022年度</c:v>
                </c:pt>
                <c:pt idx="1">
                  <c:v>2021年度</c:v>
                </c:pt>
              </c:strCache>
            </c:strRef>
          </c:cat>
          <c:val>
            <c:numRef>
              <c:f>[图形编制草稿.xlsx]Sheet1!$B$14:$C$14</c:f>
              <c:numCache>
                <c:formatCode>General</c:formatCode>
                <c:ptCount val="2"/>
                <c:pt idx="0">
                  <c:v>7791.9</c:v>
                </c:pt>
                <c:pt idx="1">
                  <c:v>6687.01</c:v>
                </c:pt>
              </c:numCache>
            </c:numRef>
          </c:val>
        </c:ser>
        <c:dLbls>
          <c:showLegendKey val="0"/>
          <c:showVal val="1"/>
          <c:showCatName val="0"/>
          <c:showSerName val="0"/>
          <c:showPercent val="0"/>
          <c:showBubbleSize val="0"/>
        </c:dLbls>
        <c:gapWidth val="219"/>
        <c:overlap val="-27"/>
        <c:axId val="76422144"/>
        <c:axId val="76424704"/>
      </c:barChart>
      <c:catAx>
        <c:axId val="7642214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24704"/>
        <c:crosses val="autoZero"/>
        <c:auto val="1"/>
        <c:lblAlgn val="ctr"/>
        <c:lblOffset val="100"/>
        <c:noMultiLvlLbl val="0"/>
      </c:catAx>
      <c:valAx>
        <c:axId val="7642470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2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一般公共预算财政拨款变动情况图</a:t>
            </a:r>
            <a:r>
              <a:rPr lang="en-US" altLang="zh-CN" b="1">
                <a:solidFill>
                  <a:sysClr val="windowText" lastClr="000000"/>
                </a:solidFill>
              </a:rPr>
              <a:t> </a:t>
            </a:r>
            <a:endParaRPr b="1">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overlay val="0"/>
      <c:spPr>
        <a:noFill/>
        <a:ln>
          <a:noFill/>
        </a:ln>
        <a:effectLst/>
      </c:spPr>
    </c:title>
    <c:autoTitleDeleted val="0"/>
    <c:plotArea>
      <c:layout/>
      <c:barChart>
        <c:barDir val="col"/>
        <c:grouping val="clustered"/>
        <c:varyColors val="0"/>
        <c:ser>
          <c:idx val="0"/>
          <c:order val="0"/>
          <c:tx>
            <c:strRef>
              <c:f>[图形编制草稿.xlsx]Sheet1!$A$31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[图形编制草稿.xlsx]Sheet1!$B$30:$C$30</c:f>
              <c:strCache>
                <c:ptCount val="2"/>
                <c:pt idx="0">
                  <c:v>2022年度</c:v>
                </c:pt>
                <c:pt idx="1">
                  <c:v>2021年度</c:v>
                </c:pt>
              </c:strCache>
            </c:strRef>
          </c:cat>
          <c:val>
            <c:numRef>
              <c:f>[图形编制草稿.xlsx]Sheet1!$B$31:$C$31</c:f>
              <c:numCache>
                <c:formatCode>General</c:formatCode>
                <c:ptCount val="2"/>
                <c:pt idx="0">
                  <c:v>7791.9</c:v>
                </c:pt>
                <c:pt idx="1">
                  <c:v>6687.01</c:v>
                </c:pt>
              </c:numCache>
            </c:numRef>
          </c:val>
        </c:ser>
        <c:dLbls>
          <c:showLegendKey val="0"/>
          <c:showVal val="1"/>
          <c:showCatName val="0"/>
          <c:showSerName val="0"/>
          <c:showPercent val="0"/>
          <c:showBubbleSize val="0"/>
        </c:dLbls>
        <c:gapWidth val="219"/>
        <c:overlap val="-27"/>
        <c:axId val="182778112"/>
        <c:axId val="183943168"/>
      </c:barChart>
      <c:catAx>
        <c:axId val="18277811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943168"/>
        <c:crosses val="autoZero"/>
        <c:auto val="1"/>
        <c:lblAlgn val="ctr"/>
        <c:lblOffset val="100"/>
        <c:noMultiLvlLbl val="0"/>
      </c:catAx>
      <c:valAx>
        <c:axId val="18394316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277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一般公共预算财政拨款结构图</a:t>
            </a:r>
            <a:endParaRPr b="1">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manualLayout>
          <c:xMode val="edge"/>
          <c:yMode val="edge"/>
          <c:x val="0.224861111111111"/>
          <c:y val="0.0243055555555556"/>
        </c:manualLayout>
      </c:layout>
      <c:overlay val="0"/>
      <c:spPr>
        <a:noFill/>
        <a:ln>
          <a:noFill/>
        </a:ln>
        <a:effectLst/>
      </c:spPr>
    </c:title>
    <c:autoTitleDeleted val="0"/>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3"/>
              </a:solidFill>
              <a:ln w="25400">
                <a:solidFill>
                  <a:schemeClr val="lt1"/>
                </a:solidFill>
              </a:ln>
              <a:effectLst/>
              <a:scene3d>
                <a:camera prst="orthographicFront"/>
                <a:lightRig rig="threePt" dir="t"/>
              </a:scene3d>
              <a:sp3d contourW="25400"/>
            </c:spPr>
          </c:dPt>
          <c:dPt>
            <c:idx val="2"/>
            <c:bubble3D val="0"/>
            <c:spPr>
              <a:solidFill>
                <a:schemeClr val="accent5"/>
              </a:solidFill>
              <a:ln w="25400">
                <a:solidFill>
                  <a:schemeClr val="lt1"/>
                </a:solidFill>
              </a:ln>
              <a:effectLst/>
              <a:scene3d>
                <a:camera prst="orthographicFront"/>
                <a:lightRig rig="threePt" dir="t"/>
              </a:scene3d>
              <a:sp3d contourW="25400"/>
            </c:spPr>
          </c:dPt>
          <c:dLbls>
            <c:dLbl>
              <c:idx val="0"/>
              <c:layout>
                <c:manualLayout>
                  <c:x val="0.133333333333333"/>
                  <c:y val="-0.12152777777777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1"/>
              <c:layout>
                <c:manualLayout>
                  <c:x val="-0.0645833333333333"/>
                  <c:y val="0.017361111111111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0520833333333333"/>
                  <c:y val="0.038194444444444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[图形编制草稿.xlsx]Sheet1!$A$52:$A$54</c:f>
              <c:strCache>
                <c:ptCount val="3"/>
                <c:pt idx="0">
                  <c:v>教育支出</c:v>
                </c:pt>
                <c:pt idx="1">
                  <c:v>社会保障和就业支出</c:v>
                </c:pt>
                <c:pt idx="2">
                  <c:v>住房保障支出</c:v>
                </c:pt>
              </c:strCache>
            </c:strRef>
          </c:cat>
          <c:val>
            <c:numRef>
              <c:f>[图形编制草稿.xlsx]Sheet1!$B$52:$B$54</c:f>
              <c:numCache>
                <c:formatCode>#,##0.00</c:formatCode>
                <c:ptCount val="3"/>
                <c:pt idx="0">
                  <c:v>6758.2</c:v>
                </c:pt>
                <c:pt idx="1">
                  <c:v>612.66</c:v>
                </c:pt>
                <c:pt idx="2">
                  <c:v>421.03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solidFill>
                  <a:sysClr val="windowText" lastClr="000000"/>
                </a:solidFill>
              </a:rPr>
              <a:t>“三公”经费财政拨款支出结构图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单位：万元</a:t>
            </a:r>
            <a:endParaRPr>
              <a:solidFill>
                <a:sysClr val="windowText" lastClr="000000"/>
              </a:solidFill>
            </a:endParaRPr>
          </a:p>
        </c:rich>
      </c:tx>
      <c:layout/>
      <c:overlay val="0"/>
      <c:spPr>
        <a:noFill/>
        <a:ln>
          <a:noFill/>
        </a:ln>
        <a:effectLst/>
      </c:spPr>
    </c:title>
    <c:autoTitleDeleted val="0"/>
    <c:plotArea>
      <c:layout/>
      <c:pie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[图形编制草稿.xlsx]Sheet1!$A$74:$A$75</c:f>
              <c:strCache>
                <c:ptCount val="2"/>
                <c:pt idx="0">
                  <c:v>公务用车运行维护费</c:v>
                </c:pt>
                <c:pt idx="1">
                  <c:v>公务接待费</c:v>
                </c:pt>
              </c:strCache>
            </c:strRef>
          </c:cat>
          <c:val>
            <c:numRef>
              <c:f>[图形编制草稿.xlsx]Sheet1!$B$74:$B$75</c:f>
              <c:numCache>
                <c:formatCode>General</c:formatCode>
                <c:ptCount val="2"/>
                <c:pt idx="0">
                  <c:v>3.24</c:v>
                </c:pt>
                <c:pt idx="1">
                  <c:v>0.79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18</Pages>
  <Words>5431</Words>
  <Characters>5984</Characters>
  <Lines>43</Lines>
  <Paragraphs>12</Paragraphs>
  <TotalTime>13</TotalTime>
  <ScaleCrop>false</ScaleCrop>
  <LinksUpToDate>false</LinksUpToDate>
  <CharactersWithSpaces>6158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皮皮</cp:lastModifiedBy>
  <cp:lastPrinted>2023-07-31T10:35:00Z</cp:lastPrinted>
  <dcterms:modified xsi:type="dcterms:W3CDTF">2023-10-13T04:05:03Z</dcterms:modified>
  <dc:title>四川省***</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A42E2F2C8774412C88755F5A8176DCFE_12</vt:lpwstr>
  </property>
</Properties>
</file>